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3F" w:rsidRPr="00B42814" w:rsidRDefault="00AA123F" w:rsidP="00AA123F">
      <w:pPr>
        <w:pStyle w:val="Default"/>
        <w:rPr>
          <w:rFonts w:ascii="Arial" w:hAnsi="Arial" w:cs="Arial"/>
          <w:sz w:val="22"/>
          <w:szCs w:val="22"/>
        </w:rPr>
      </w:pPr>
      <w:r w:rsidRPr="00B42814">
        <w:rPr>
          <w:rFonts w:ascii="Arial" w:hAnsi="Arial" w:cs="Arial"/>
          <w:sz w:val="22"/>
          <w:szCs w:val="22"/>
        </w:rPr>
        <w:t>The government believes that pupil premium, which is in addition to main school funding, is the best way to address inequalities between children eligible for free school meals (FSM) and their wealthier counterparts by ensuring that funding to redress disadvantage reaches the pupils who need it most.</w:t>
      </w:r>
    </w:p>
    <w:p w:rsidR="00AA123F" w:rsidRPr="00B42814" w:rsidRDefault="00AA123F" w:rsidP="00AA123F">
      <w:pPr>
        <w:pStyle w:val="Default"/>
        <w:rPr>
          <w:rFonts w:ascii="Arial" w:hAnsi="Arial" w:cs="Arial"/>
          <w:sz w:val="22"/>
          <w:szCs w:val="22"/>
        </w:rPr>
      </w:pPr>
    </w:p>
    <w:p w:rsidR="00AA123F" w:rsidRPr="00B42814" w:rsidRDefault="00AA123F" w:rsidP="00AA123F">
      <w:pPr>
        <w:pStyle w:val="Default"/>
        <w:rPr>
          <w:rFonts w:ascii="Arial" w:hAnsi="Arial" w:cs="Arial"/>
          <w:sz w:val="22"/>
          <w:szCs w:val="22"/>
        </w:rPr>
      </w:pPr>
      <w:r w:rsidRPr="00B42814">
        <w:rPr>
          <w:rFonts w:ascii="Arial" w:hAnsi="Arial" w:cs="Arial"/>
          <w:sz w:val="22"/>
          <w:szCs w:val="22"/>
        </w:rPr>
        <w:t xml:space="preserve">National research shows that children who have been eligible for FSM at any point in their school life generally have consistently lower educational attainment than those who have never been eligible. </w:t>
      </w:r>
    </w:p>
    <w:p w:rsidR="00AA123F" w:rsidRPr="00B42814" w:rsidRDefault="00AA123F" w:rsidP="00AA123F">
      <w:pPr>
        <w:pStyle w:val="Default"/>
        <w:rPr>
          <w:rFonts w:ascii="Arial" w:hAnsi="Arial" w:cs="Arial"/>
          <w:sz w:val="22"/>
          <w:szCs w:val="22"/>
        </w:rPr>
      </w:pPr>
      <w:r w:rsidRPr="00B42814">
        <w:rPr>
          <w:rFonts w:ascii="Arial" w:hAnsi="Arial" w:cs="Arial"/>
          <w:sz w:val="22"/>
          <w:szCs w:val="22"/>
        </w:rPr>
        <w:t xml:space="preserve">It is also worth noting that many pupils entitled to FSM (and indeed those who are not) also face often multiple vulnerabilities which are a barrier to good achievement. </w:t>
      </w:r>
    </w:p>
    <w:p w:rsidR="00AA123F" w:rsidRDefault="00AA123F" w:rsidP="00AA123F">
      <w:pPr>
        <w:pStyle w:val="Default"/>
        <w:rPr>
          <w:rFonts w:ascii="Arial" w:hAnsi="Arial" w:cs="Arial"/>
          <w:b/>
          <w:bCs/>
          <w:sz w:val="22"/>
          <w:szCs w:val="22"/>
        </w:rPr>
      </w:pPr>
    </w:p>
    <w:p w:rsidR="00AA123F" w:rsidRDefault="00AA123F" w:rsidP="00AA123F">
      <w:pPr>
        <w:pStyle w:val="Default"/>
        <w:rPr>
          <w:rFonts w:ascii="Arial" w:hAnsi="Arial" w:cs="Arial"/>
          <w:sz w:val="22"/>
          <w:szCs w:val="22"/>
        </w:rPr>
      </w:pPr>
      <w:r>
        <w:rPr>
          <w:rFonts w:ascii="Arial" w:hAnsi="Arial" w:cs="Arial"/>
          <w:b/>
          <w:bCs/>
          <w:sz w:val="22"/>
          <w:szCs w:val="22"/>
        </w:rPr>
        <w:t xml:space="preserve">Eligibility for Pupil Premium </w:t>
      </w:r>
    </w:p>
    <w:p w:rsidR="00AA123F" w:rsidRDefault="00AA123F" w:rsidP="00AA123F">
      <w:pPr>
        <w:pStyle w:val="Default"/>
        <w:rPr>
          <w:rFonts w:ascii="Arial" w:hAnsi="Arial" w:cs="Arial"/>
          <w:sz w:val="22"/>
          <w:szCs w:val="22"/>
        </w:rPr>
      </w:pPr>
      <w:r>
        <w:rPr>
          <w:rFonts w:ascii="Arial" w:hAnsi="Arial" w:cs="Arial"/>
          <w:sz w:val="22"/>
          <w:szCs w:val="22"/>
        </w:rPr>
        <w:t xml:space="preserve">The most disadvantaged pupils, including all children who are looked after (CLA), benefit from pupil premium. Any child that has been registered for FSM in the past six-year period (known as the “ever 6”) qualifies for pupil premium funding. </w:t>
      </w:r>
    </w:p>
    <w:p w:rsidR="00AA123F" w:rsidRDefault="00AA123F" w:rsidP="00AA123F">
      <w:pPr>
        <w:pStyle w:val="Default"/>
        <w:rPr>
          <w:rFonts w:ascii="Arial" w:hAnsi="Arial" w:cs="Arial"/>
          <w:b/>
          <w:bCs/>
          <w:sz w:val="22"/>
          <w:szCs w:val="22"/>
        </w:rPr>
      </w:pPr>
    </w:p>
    <w:p w:rsidR="00AA123F" w:rsidRDefault="00AA123F" w:rsidP="00AA123F">
      <w:pPr>
        <w:pStyle w:val="Default"/>
        <w:rPr>
          <w:rFonts w:ascii="Arial" w:hAnsi="Arial" w:cs="Arial"/>
          <w:sz w:val="22"/>
          <w:szCs w:val="22"/>
        </w:rPr>
      </w:pPr>
      <w:r>
        <w:rPr>
          <w:rFonts w:ascii="Arial" w:hAnsi="Arial" w:cs="Arial"/>
          <w:b/>
          <w:bCs/>
          <w:sz w:val="22"/>
          <w:szCs w:val="22"/>
        </w:rPr>
        <w:t xml:space="preserve">Children Looked After (CLA) and the Pupil Premium </w:t>
      </w:r>
    </w:p>
    <w:p w:rsidR="00AA123F" w:rsidRDefault="00AA123F" w:rsidP="00AA123F">
      <w:pPr>
        <w:pStyle w:val="Default"/>
        <w:rPr>
          <w:rFonts w:ascii="Arial" w:hAnsi="Arial" w:cs="Arial"/>
          <w:sz w:val="22"/>
          <w:szCs w:val="22"/>
        </w:rPr>
      </w:pPr>
      <w:r>
        <w:rPr>
          <w:rFonts w:ascii="Arial" w:hAnsi="Arial" w:cs="Arial"/>
          <w:sz w:val="22"/>
          <w:szCs w:val="22"/>
        </w:rPr>
        <w:t xml:space="preserve">As CLA often face additional barriers to learning, these pupils also receive additional funding, known as pupil premium plus. </w:t>
      </w:r>
    </w:p>
    <w:p w:rsidR="00AA123F" w:rsidRDefault="00AA123F" w:rsidP="00AA123F">
      <w:pPr>
        <w:pStyle w:val="Default"/>
        <w:rPr>
          <w:rFonts w:ascii="Arial" w:hAnsi="Arial" w:cs="Arial"/>
          <w:b/>
          <w:bCs/>
          <w:sz w:val="22"/>
          <w:szCs w:val="22"/>
        </w:rPr>
      </w:pPr>
    </w:p>
    <w:p w:rsidR="00AA123F" w:rsidRDefault="00AA123F" w:rsidP="00AA123F">
      <w:pPr>
        <w:pStyle w:val="Default"/>
        <w:rPr>
          <w:rFonts w:ascii="Arial" w:hAnsi="Arial" w:cs="Arial"/>
          <w:sz w:val="22"/>
          <w:szCs w:val="22"/>
        </w:rPr>
      </w:pPr>
      <w:r>
        <w:rPr>
          <w:rFonts w:ascii="Arial" w:hAnsi="Arial" w:cs="Arial"/>
          <w:b/>
          <w:bCs/>
          <w:sz w:val="22"/>
          <w:szCs w:val="22"/>
        </w:rPr>
        <w:t xml:space="preserve">Children of Service Families </w:t>
      </w:r>
    </w:p>
    <w:p w:rsidR="00AA123F" w:rsidRDefault="00AA123F" w:rsidP="00AA123F">
      <w:pPr>
        <w:pStyle w:val="Default"/>
        <w:rPr>
          <w:rFonts w:ascii="Arial" w:hAnsi="Arial" w:cs="Arial"/>
          <w:sz w:val="22"/>
          <w:szCs w:val="22"/>
        </w:rPr>
      </w:pPr>
      <w:r>
        <w:rPr>
          <w:rFonts w:ascii="Arial" w:hAnsi="Arial" w:cs="Arial"/>
          <w:sz w:val="22"/>
          <w:szCs w:val="22"/>
        </w:rPr>
        <w:t xml:space="preserve">These children receive an increased premium. </w:t>
      </w:r>
    </w:p>
    <w:p w:rsidR="00AA123F" w:rsidRDefault="00AA123F" w:rsidP="00AA123F">
      <w:pPr>
        <w:pStyle w:val="Default"/>
        <w:rPr>
          <w:rFonts w:ascii="Arial" w:hAnsi="Arial" w:cs="Arial"/>
          <w:b/>
          <w:bCs/>
          <w:sz w:val="22"/>
          <w:szCs w:val="22"/>
        </w:rPr>
      </w:pPr>
    </w:p>
    <w:p w:rsidR="00AA123F" w:rsidRDefault="00AA123F" w:rsidP="00AA123F">
      <w:pPr>
        <w:pStyle w:val="Default"/>
        <w:rPr>
          <w:rFonts w:ascii="Arial" w:hAnsi="Arial" w:cs="Arial"/>
          <w:sz w:val="22"/>
          <w:szCs w:val="22"/>
        </w:rPr>
      </w:pPr>
      <w:r>
        <w:rPr>
          <w:rFonts w:ascii="Arial" w:hAnsi="Arial" w:cs="Arial"/>
          <w:b/>
          <w:bCs/>
          <w:sz w:val="22"/>
          <w:szCs w:val="22"/>
        </w:rPr>
        <w:t xml:space="preserve">How is </w:t>
      </w:r>
      <w:proofErr w:type="spellStart"/>
      <w:r>
        <w:rPr>
          <w:rFonts w:ascii="Arial" w:hAnsi="Arial" w:cs="Arial"/>
          <w:b/>
          <w:bCs/>
          <w:sz w:val="22"/>
          <w:szCs w:val="22"/>
        </w:rPr>
        <w:t>Broadwood</w:t>
      </w:r>
      <w:proofErr w:type="spellEnd"/>
      <w:r>
        <w:rPr>
          <w:rFonts w:ascii="Arial" w:hAnsi="Arial" w:cs="Arial"/>
          <w:b/>
          <w:bCs/>
          <w:sz w:val="22"/>
          <w:szCs w:val="22"/>
        </w:rPr>
        <w:t xml:space="preserve"> accountable for the pupil premium? </w:t>
      </w:r>
    </w:p>
    <w:p w:rsidR="00AA123F" w:rsidRDefault="00AA123F" w:rsidP="00AA123F">
      <w:pPr>
        <w:pStyle w:val="Default"/>
        <w:rPr>
          <w:rFonts w:ascii="Arial" w:hAnsi="Arial" w:cs="Arial"/>
          <w:sz w:val="22"/>
          <w:szCs w:val="22"/>
        </w:rPr>
      </w:pPr>
    </w:p>
    <w:p w:rsidR="00815F1E" w:rsidRDefault="00815F1E" w:rsidP="00AA123F">
      <w:pPr>
        <w:pStyle w:val="Default"/>
        <w:rPr>
          <w:rFonts w:ascii="Arial" w:hAnsi="Arial" w:cs="Arial"/>
          <w:sz w:val="22"/>
          <w:szCs w:val="22"/>
        </w:rPr>
      </w:pPr>
      <w:r>
        <w:rPr>
          <w:rFonts w:ascii="Arial" w:hAnsi="Arial" w:cs="Arial"/>
          <w:sz w:val="22"/>
          <w:szCs w:val="22"/>
        </w:rPr>
        <w:t xml:space="preserve">We will ensure expectations are high for </w:t>
      </w:r>
      <w:r w:rsidRPr="00815F1E">
        <w:rPr>
          <w:rFonts w:ascii="Arial" w:hAnsi="Arial" w:cs="Arial"/>
          <w:b/>
          <w:sz w:val="22"/>
          <w:szCs w:val="22"/>
        </w:rPr>
        <w:t>all</w:t>
      </w:r>
      <w:r>
        <w:rPr>
          <w:rFonts w:ascii="Arial" w:hAnsi="Arial" w:cs="Arial"/>
          <w:sz w:val="22"/>
          <w:szCs w:val="22"/>
        </w:rPr>
        <w:t xml:space="preserve"> children, believing </w:t>
      </w:r>
      <w:r w:rsidRPr="00815F1E">
        <w:rPr>
          <w:rFonts w:ascii="Arial" w:hAnsi="Arial" w:cs="Arial"/>
          <w:b/>
          <w:sz w:val="22"/>
          <w:szCs w:val="22"/>
        </w:rPr>
        <w:t xml:space="preserve">all </w:t>
      </w:r>
      <w:r>
        <w:rPr>
          <w:rFonts w:ascii="Arial" w:hAnsi="Arial" w:cs="Arial"/>
          <w:sz w:val="22"/>
          <w:szCs w:val="22"/>
        </w:rPr>
        <w:t>children can achieve highly regardless of their home life situations.</w:t>
      </w:r>
    </w:p>
    <w:p w:rsidR="00AA123F" w:rsidRDefault="00AA123F" w:rsidP="00AA123F">
      <w:pPr>
        <w:pStyle w:val="Default"/>
        <w:rPr>
          <w:rFonts w:ascii="Arial" w:hAnsi="Arial" w:cs="Arial"/>
          <w:sz w:val="22"/>
          <w:szCs w:val="22"/>
        </w:rPr>
      </w:pPr>
      <w:r>
        <w:rPr>
          <w:rFonts w:ascii="Arial" w:hAnsi="Arial" w:cs="Arial"/>
          <w:sz w:val="22"/>
          <w:szCs w:val="22"/>
        </w:rPr>
        <w:t xml:space="preserve">We will continuously strive for consistency in </w:t>
      </w:r>
      <w:r w:rsidR="00815F1E">
        <w:rPr>
          <w:rFonts w:ascii="Arial" w:hAnsi="Arial" w:cs="Arial"/>
          <w:sz w:val="22"/>
          <w:szCs w:val="22"/>
        </w:rPr>
        <w:t>‘</w:t>
      </w:r>
      <w:r>
        <w:rPr>
          <w:rFonts w:ascii="Arial" w:hAnsi="Arial" w:cs="Arial"/>
          <w:sz w:val="22"/>
          <w:szCs w:val="22"/>
        </w:rPr>
        <w:t>quality first teaching</w:t>
      </w:r>
      <w:r w:rsidR="00815F1E">
        <w:rPr>
          <w:rFonts w:ascii="Arial" w:hAnsi="Arial" w:cs="Arial"/>
          <w:sz w:val="22"/>
          <w:szCs w:val="22"/>
        </w:rPr>
        <w:t>’ where teaching and learning is inclusive</w:t>
      </w:r>
      <w:r w:rsidR="00DF0DE8">
        <w:rPr>
          <w:rFonts w:ascii="Arial" w:hAnsi="Arial" w:cs="Arial"/>
          <w:sz w:val="22"/>
          <w:szCs w:val="22"/>
        </w:rPr>
        <w:t xml:space="preserve"> and all children can access their age related curriculum.</w:t>
      </w:r>
      <w:r w:rsidR="00815F1E">
        <w:rPr>
          <w:rFonts w:ascii="Arial" w:hAnsi="Arial" w:cs="Arial"/>
          <w:sz w:val="22"/>
          <w:szCs w:val="22"/>
        </w:rPr>
        <w:t xml:space="preserve"> Robust tracking of all children takes place and support/intervention is put in place</w:t>
      </w:r>
      <w:r w:rsidR="00DF0DE8">
        <w:rPr>
          <w:rFonts w:ascii="Arial" w:hAnsi="Arial" w:cs="Arial"/>
          <w:sz w:val="22"/>
          <w:szCs w:val="22"/>
        </w:rPr>
        <w:t xml:space="preserve"> where</w:t>
      </w:r>
      <w:r w:rsidR="00815F1E">
        <w:rPr>
          <w:rFonts w:ascii="Arial" w:hAnsi="Arial" w:cs="Arial"/>
          <w:sz w:val="22"/>
          <w:szCs w:val="22"/>
        </w:rPr>
        <w:t xml:space="preserve"> necessary</w:t>
      </w:r>
      <w:r w:rsidR="00DF0DE8">
        <w:rPr>
          <w:rFonts w:ascii="Arial" w:hAnsi="Arial" w:cs="Arial"/>
          <w:sz w:val="22"/>
          <w:szCs w:val="22"/>
        </w:rPr>
        <w:t xml:space="preserve"> to secure gaps in learning</w:t>
      </w:r>
      <w:r w:rsidR="00815F1E">
        <w:rPr>
          <w:rFonts w:ascii="Arial" w:hAnsi="Arial" w:cs="Arial"/>
          <w:sz w:val="22"/>
          <w:szCs w:val="22"/>
        </w:rPr>
        <w:t xml:space="preserve">. </w:t>
      </w:r>
    </w:p>
    <w:p w:rsidR="006E589C" w:rsidRDefault="006E589C" w:rsidP="00AA123F">
      <w:pPr>
        <w:rPr>
          <w:rFonts w:ascii="Arial" w:hAnsi="Arial" w:cs="Arial"/>
          <w:i/>
          <w:iCs/>
        </w:rPr>
      </w:pPr>
    </w:p>
    <w:p w:rsidR="00AA123F" w:rsidRDefault="006E589C" w:rsidP="00AA123F">
      <w:pPr>
        <w:rPr>
          <w:rFonts w:ascii="Arial" w:hAnsi="Arial" w:cs="Arial"/>
          <w:i/>
          <w:iCs/>
        </w:rPr>
      </w:pPr>
      <w:r>
        <w:rPr>
          <w:rFonts w:ascii="Arial" w:hAnsi="Arial" w:cs="Arial"/>
          <w:i/>
          <w:iCs/>
        </w:rPr>
        <w:t>The following plan (which is monitored termly and a summative evaluation produced at the end of the financial year) sets out clearly how we spend our funding and the intended outcomes:</w:t>
      </w:r>
    </w:p>
    <w:p w:rsidR="00DF0DE8" w:rsidRPr="006E589C" w:rsidRDefault="00DF0DE8" w:rsidP="00AA123F">
      <w:pPr>
        <w:rPr>
          <w:rFonts w:ascii="Arial" w:hAnsi="Arial" w:cs="Arial"/>
          <w:color w:val="000000"/>
        </w:rPr>
      </w:pPr>
    </w:p>
    <w:tbl>
      <w:tblPr>
        <w:tblStyle w:val="TableGrid"/>
        <w:tblW w:w="15452" w:type="dxa"/>
        <w:tblInd w:w="-998" w:type="dxa"/>
        <w:tblLayout w:type="fixed"/>
        <w:tblLook w:val="04A0" w:firstRow="1" w:lastRow="0" w:firstColumn="1" w:lastColumn="0" w:noHBand="0" w:noVBand="1"/>
      </w:tblPr>
      <w:tblGrid>
        <w:gridCol w:w="15452"/>
      </w:tblGrid>
      <w:tr w:rsidR="007C632A" w:rsidTr="006E589C">
        <w:trPr>
          <w:trHeight w:val="300"/>
        </w:trPr>
        <w:tc>
          <w:tcPr>
            <w:tcW w:w="15452" w:type="dxa"/>
          </w:tcPr>
          <w:tbl>
            <w:tblPr>
              <w:tblStyle w:val="TableGrid"/>
              <w:tblpPr w:leftFromText="180" w:rightFromText="180" w:vertAnchor="page" w:horzAnchor="margin" w:tblpX="-714" w:tblpY="1"/>
              <w:tblW w:w="15439" w:type="dxa"/>
              <w:tblLayout w:type="fixed"/>
              <w:tblLook w:val="04A0" w:firstRow="1" w:lastRow="0" w:firstColumn="1" w:lastColumn="0" w:noHBand="0" w:noVBand="1"/>
            </w:tblPr>
            <w:tblGrid>
              <w:gridCol w:w="15439"/>
            </w:tblGrid>
            <w:tr w:rsidR="007C632A" w:rsidTr="006E589C">
              <w:trPr>
                <w:trHeight w:val="276"/>
              </w:trPr>
              <w:tc>
                <w:tcPr>
                  <w:tcW w:w="15439" w:type="dxa"/>
                  <w:tcBorders>
                    <w:bottom w:val="single" w:sz="4" w:space="0" w:color="auto"/>
                  </w:tcBorders>
                </w:tcPr>
                <w:tbl>
                  <w:tblPr>
                    <w:tblW w:w="11278" w:type="dxa"/>
                    <w:tblInd w:w="1" w:type="dxa"/>
                    <w:tblBorders>
                      <w:top w:val="nil"/>
                      <w:left w:val="nil"/>
                      <w:bottom w:val="nil"/>
                      <w:right w:val="nil"/>
                    </w:tblBorders>
                    <w:tblLayout w:type="fixed"/>
                    <w:tblLook w:val="0000" w:firstRow="0" w:lastRow="0" w:firstColumn="0" w:lastColumn="0" w:noHBand="0" w:noVBand="0"/>
                  </w:tblPr>
                  <w:tblGrid>
                    <w:gridCol w:w="11278"/>
                  </w:tblGrid>
                  <w:tr w:rsidR="007C632A" w:rsidRPr="00E932D2" w:rsidTr="006E589C">
                    <w:trPr>
                      <w:trHeight w:val="120"/>
                    </w:trPr>
                    <w:tc>
                      <w:tcPr>
                        <w:tcW w:w="11278" w:type="dxa"/>
                      </w:tcPr>
                      <w:p w:rsidR="007C632A" w:rsidRPr="00E932D2" w:rsidRDefault="007C632A" w:rsidP="007C632A">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lastRenderedPageBreak/>
                          <w:t>Objective: Raise the attainment and progress of disadvantaged PP children so that they are in line with their peers.</w:t>
                        </w:r>
                        <w:r w:rsidRPr="00E932D2">
                          <w:rPr>
                            <w:rFonts w:ascii="Calibri" w:hAnsi="Calibri" w:cs="Calibri"/>
                            <w:b/>
                            <w:bCs/>
                            <w:color w:val="000000"/>
                            <w:sz w:val="23"/>
                            <w:szCs w:val="23"/>
                          </w:rPr>
                          <w:t xml:space="preserve"> </w:t>
                        </w:r>
                      </w:p>
                    </w:tc>
                  </w:tr>
                </w:tbl>
                <w:p w:rsidR="007C632A" w:rsidRDefault="007C632A" w:rsidP="007C632A"/>
              </w:tc>
            </w:tr>
          </w:tbl>
          <w:p w:rsidR="007C632A" w:rsidRDefault="007C632A" w:rsidP="00575315">
            <w:pPr>
              <w:spacing w:after="100" w:afterAutospacing="1"/>
              <w:rPr>
                <w:rFonts w:ascii="Arial" w:hAnsi="Arial" w:cs="Arial"/>
                <w:color w:val="000000"/>
              </w:rPr>
            </w:pPr>
          </w:p>
        </w:tc>
      </w:tr>
      <w:tr w:rsidR="007C632A" w:rsidTr="006E589C">
        <w:trPr>
          <w:trHeight w:val="58"/>
        </w:trPr>
        <w:tc>
          <w:tcPr>
            <w:tcW w:w="15452" w:type="dxa"/>
          </w:tcPr>
          <w:tbl>
            <w:tblPr>
              <w:tblStyle w:val="TableGrid"/>
              <w:tblpPr w:leftFromText="180" w:rightFromText="180" w:vertAnchor="page" w:horzAnchor="margin" w:tblpX="-714" w:tblpY="1"/>
              <w:tblW w:w="15439" w:type="dxa"/>
              <w:tblLayout w:type="fixed"/>
              <w:tblLook w:val="04A0" w:firstRow="1" w:lastRow="0" w:firstColumn="1" w:lastColumn="0" w:noHBand="0" w:noVBand="1"/>
            </w:tblPr>
            <w:tblGrid>
              <w:gridCol w:w="15439"/>
            </w:tblGrid>
            <w:tr w:rsidR="007C632A" w:rsidTr="006E589C">
              <w:trPr>
                <w:trHeight w:val="122"/>
              </w:trPr>
              <w:tc>
                <w:tcPr>
                  <w:tcW w:w="15439" w:type="dxa"/>
                  <w:tcBorders>
                    <w:bottom w:val="nil"/>
                  </w:tcBorders>
                </w:tcPr>
                <w:p w:rsidR="007C632A" w:rsidRPr="00DF0DE8" w:rsidRDefault="007C632A" w:rsidP="007C632A">
                  <w:pPr>
                    <w:pStyle w:val="Default"/>
                    <w:rPr>
                      <w:color w:val="FF0000"/>
                    </w:rPr>
                  </w:pPr>
                  <w:r w:rsidRPr="00DF0DE8">
                    <w:rPr>
                      <w:b/>
                      <w:bCs/>
                      <w:color w:val="FF0000"/>
                    </w:rPr>
                    <w:t xml:space="preserve">Context: </w:t>
                  </w:r>
                </w:p>
                <w:p w:rsidR="007C632A" w:rsidRPr="006E589C" w:rsidRDefault="007C632A" w:rsidP="006E589C">
                  <w:pPr>
                    <w:pStyle w:val="Default"/>
                    <w:rPr>
                      <w:sz w:val="22"/>
                      <w:szCs w:val="22"/>
                    </w:rPr>
                  </w:pPr>
                  <w:r>
                    <w:rPr>
                      <w:sz w:val="22"/>
                      <w:szCs w:val="22"/>
                    </w:rPr>
                    <w:t xml:space="preserve">Pupil premium allocation for the 2019/20 financial </w:t>
                  </w:r>
                  <w:r w:rsidR="004D669F">
                    <w:rPr>
                      <w:sz w:val="22"/>
                      <w:szCs w:val="22"/>
                    </w:rPr>
                    <w:t xml:space="preserve">year £198,940. </w:t>
                  </w:r>
                  <w:r>
                    <w:rPr>
                      <w:sz w:val="22"/>
                      <w:szCs w:val="22"/>
                    </w:rPr>
                    <w:t xml:space="preserve">This is based on pupils who have been allocated pupil premium based on ‘Ever 6’ (any child who has received free school meals at any time in the past six years and is therefore entitled to pupil premium funding), </w:t>
                  </w:r>
                  <w:r w:rsidR="00F96F22">
                    <w:rPr>
                      <w:sz w:val="22"/>
                      <w:szCs w:val="22"/>
                    </w:rPr>
                    <w:t xml:space="preserve">also </w:t>
                  </w:r>
                  <w:r w:rsidRPr="00D9585F">
                    <w:rPr>
                      <w:sz w:val="22"/>
                      <w:szCs w:val="22"/>
                    </w:rPr>
                    <w:t>1 service child and 2 children</w:t>
                  </w:r>
                  <w:r>
                    <w:rPr>
                      <w:sz w:val="22"/>
                      <w:szCs w:val="22"/>
                    </w:rPr>
                    <w:t xml:space="preserve"> who are looked after. This currently equates to 49</w:t>
                  </w:r>
                  <w:r w:rsidRPr="00D9585F">
                    <w:rPr>
                      <w:sz w:val="22"/>
                      <w:szCs w:val="22"/>
                    </w:rPr>
                    <w:t xml:space="preserve">% </w:t>
                  </w:r>
                  <w:r>
                    <w:rPr>
                      <w:sz w:val="22"/>
                      <w:szCs w:val="22"/>
                    </w:rPr>
                    <w:t>of pupils currently on roll (147</w:t>
                  </w:r>
                  <w:r w:rsidRPr="00D9585F">
                    <w:rPr>
                      <w:sz w:val="22"/>
                      <w:szCs w:val="22"/>
                    </w:rPr>
                    <w:t xml:space="preserve"> children excluding nursery).</w:t>
                  </w:r>
                  <w:r>
                    <w:rPr>
                      <w:sz w:val="22"/>
                      <w:szCs w:val="22"/>
                    </w:rPr>
                    <w:t xml:space="preserve"> </w:t>
                  </w:r>
                </w:p>
              </w:tc>
            </w:tr>
            <w:tr w:rsidR="007C632A" w:rsidRPr="00D9585F" w:rsidTr="006E589C">
              <w:trPr>
                <w:trHeight w:val="1872"/>
              </w:trPr>
              <w:tc>
                <w:tcPr>
                  <w:tcW w:w="15439" w:type="dxa"/>
                  <w:tcBorders>
                    <w:top w:val="nil"/>
                  </w:tcBorders>
                </w:tcPr>
                <w:p w:rsidR="007C632A" w:rsidRPr="00DF0DE8" w:rsidRDefault="007C632A" w:rsidP="007C632A">
                  <w:pPr>
                    <w:pStyle w:val="Default"/>
                    <w:rPr>
                      <w:color w:val="FF0000"/>
                    </w:rPr>
                  </w:pPr>
                  <w:r w:rsidRPr="00DF0DE8">
                    <w:rPr>
                      <w:b/>
                      <w:bCs/>
                      <w:color w:val="FF0000"/>
                    </w:rPr>
                    <w:t xml:space="preserve">In-school barriers to learning: </w:t>
                  </w:r>
                </w:p>
                <w:p w:rsidR="007C632A" w:rsidRDefault="007C632A" w:rsidP="007C632A">
                  <w:pPr>
                    <w:pStyle w:val="Default"/>
                    <w:rPr>
                      <w:sz w:val="22"/>
                      <w:szCs w:val="22"/>
                    </w:rPr>
                  </w:pPr>
                  <w:r>
                    <w:rPr>
                      <w:sz w:val="22"/>
                      <w:szCs w:val="22"/>
                    </w:rPr>
                    <w:t xml:space="preserve">A. </w:t>
                  </w:r>
                  <w:r w:rsidR="004D669F" w:rsidRPr="004D669F">
                    <w:rPr>
                      <w:b/>
                      <w:sz w:val="22"/>
                      <w:szCs w:val="22"/>
                    </w:rPr>
                    <w:t>Attainment Gaps</w:t>
                  </w:r>
                  <w:r w:rsidR="004D669F">
                    <w:rPr>
                      <w:b/>
                      <w:sz w:val="22"/>
                      <w:szCs w:val="22"/>
                    </w:rPr>
                    <w:t xml:space="preserve"> - </w:t>
                  </w:r>
                  <w:r w:rsidR="004D669F" w:rsidRPr="004D669F">
                    <w:rPr>
                      <w:sz w:val="22"/>
                      <w:szCs w:val="22"/>
                    </w:rPr>
                    <w:t xml:space="preserve">The starting point for PP children on entry to </w:t>
                  </w:r>
                  <w:r w:rsidR="00367099">
                    <w:rPr>
                      <w:sz w:val="22"/>
                      <w:szCs w:val="22"/>
                    </w:rPr>
                    <w:t xml:space="preserve">our </w:t>
                  </w:r>
                  <w:r w:rsidR="00982381">
                    <w:rPr>
                      <w:sz w:val="22"/>
                      <w:szCs w:val="22"/>
                    </w:rPr>
                    <w:t>Nursery</w:t>
                  </w:r>
                  <w:r w:rsidR="004D669F" w:rsidRPr="004D669F">
                    <w:rPr>
                      <w:sz w:val="22"/>
                      <w:szCs w:val="22"/>
                    </w:rPr>
                    <w:t xml:space="preserve"> is </w:t>
                  </w:r>
                  <w:r w:rsidR="00982381">
                    <w:rPr>
                      <w:sz w:val="22"/>
                      <w:szCs w:val="22"/>
                    </w:rPr>
                    <w:t xml:space="preserve">generally </w:t>
                  </w:r>
                  <w:r w:rsidR="004D669F" w:rsidRPr="004D669F">
                    <w:rPr>
                      <w:sz w:val="22"/>
                      <w:szCs w:val="22"/>
                    </w:rPr>
                    <w:t>lower than their non-PP peers</w:t>
                  </w:r>
                  <w:r w:rsidR="004D669F">
                    <w:rPr>
                      <w:b/>
                      <w:sz w:val="22"/>
                      <w:szCs w:val="22"/>
                    </w:rPr>
                    <w:t>.</w:t>
                  </w:r>
                  <w:r>
                    <w:rPr>
                      <w:sz w:val="22"/>
                      <w:szCs w:val="22"/>
                    </w:rPr>
                    <w:t xml:space="preserve"> </w:t>
                  </w:r>
                </w:p>
                <w:p w:rsidR="007C632A" w:rsidRDefault="007C632A" w:rsidP="007C632A">
                  <w:pPr>
                    <w:pStyle w:val="Default"/>
                    <w:rPr>
                      <w:sz w:val="22"/>
                      <w:szCs w:val="22"/>
                    </w:rPr>
                  </w:pPr>
                  <w:r>
                    <w:rPr>
                      <w:sz w:val="22"/>
                      <w:szCs w:val="22"/>
                    </w:rPr>
                    <w:t xml:space="preserve">B. </w:t>
                  </w:r>
                  <w:r w:rsidR="004D669F" w:rsidRPr="004D669F">
                    <w:rPr>
                      <w:b/>
                      <w:sz w:val="22"/>
                      <w:szCs w:val="22"/>
                    </w:rPr>
                    <w:t>School Context of Deprivation:</w:t>
                  </w:r>
                  <w:r w:rsidR="004D669F">
                    <w:rPr>
                      <w:sz w:val="22"/>
                      <w:szCs w:val="22"/>
                    </w:rPr>
                    <w:t xml:space="preserve"> </w:t>
                  </w:r>
                  <w:r>
                    <w:rPr>
                      <w:sz w:val="22"/>
                      <w:szCs w:val="22"/>
                    </w:rPr>
                    <w:t xml:space="preserve">Limited life and cultural experiences for some of our PP children restricts understanding of some curriculum areas. </w:t>
                  </w:r>
                </w:p>
                <w:p w:rsidR="007C632A" w:rsidRDefault="007C632A" w:rsidP="007C632A">
                  <w:pPr>
                    <w:pStyle w:val="Default"/>
                    <w:rPr>
                      <w:sz w:val="22"/>
                      <w:szCs w:val="22"/>
                    </w:rPr>
                  </w:pPr>
                  <w:r>
                    <w:rPr>
                      <w:sz w:val="22"/>
                      <w:szCs w:val="22"/>
                    </w:rPr>
                    <w:t xml:space="preserve">C. </w:t>
                  </w:r>
                  <w:r w:rsidR="004D669F" w:rsidRPr="004D669F">
                    <w:rPr>
                      <w:b/>
                      <w:sz w:val="22"/>
                      <w:szCs w:val="22"/>
                    </w:rPr>
                    <w:t>EAL and SEN:</w:t>
                  </w:r>
                  <w:r w:rsidR="004D669F">
                    <w:rPr>
                      <w:sz w:val="22"/>
                      <w:szCs w:val="22"/>
                    </w:rPr>
                    <w:t xml:space="preserve"> </w:t>
                  </w:r>
                  <w:r>
                    <w:rPr>
                      <w:sz w:val="22"/>
                      <w:szCs w:val="22"/>
                    </w:rPr>
                    <w:t>22 % of PP children are also EAL</w:t>
                  </w:r>
                  <w:r w:rsidR="004D669F">
                    <w:rPr>
                      <w:sz w:val="22"/>
                      <w:szCs w:val="22"/>
                    </w:rPr>
                    <w:t xml:space="preserve"> and 18% are SEN</w:t>
                  </w:r>
                  <w:r>
                    <w:rPr>
                      <w:sz w:val="22"/>
                      <w:szCs w:val="22"/>
                    </w:rPr>
                    <w:t xml:space="preserve"> </w:t>
                  </w:r>
                </w:p>
                <w:p w:rsidR="007C632A" w:rsidRPr="00DF0DE8" w:rsidRDefault="007C632A" w:rsidP="007C632A">
                  <w:pPr>
                    <w:pStyle w:val="Default"/>
                    <w:rPr>
                      <w:color w:val="FF0000"/>
                    </w:rPr>
                  </w:pPr>
                  <w:r w:rsidRPr="00DF0DE8">
                    <w:rPr>
                      <w:b/>
                      <w:bCs/>
                      <w:color w:val="FF0000"/>
                    </w:rPr>
                    <w:t xml:space="preserve">External barriers to learning: </w:t>
                  </w:r>
                </w:p>
                <w:p w:rsidR="007C632A" w:rsidRDefault="007C632A" w:rsidP="007C632A">
                  <w:pPr>
                    <w:pStyle w:val="Default"/>
                    <w:rPr>
                      <w:sz w:val="22"/>
                      <w:szCs w:val="22"/>
                    </w:rPr>
                  </w:pPr>
                  <w:r>
                    <w:rPr>
                      <w:sz w:val="22"/>
                      <w:szCs w:val="22"/>
                    </w:rPr>
                    <w:t xml:space="preserve">A. </w:t>
                  </w:r>
                  <w:r w:rsidR="00F96F22" w:rsidRPr="00F96F22">
                    <w:rPr>
                      <w:b/>
                      <w:sz w:val="22"/>
                      <w:szCs w:val="22"/>
                    </w:rPr>
                    <w:t>Attendance:</w:t>
                  </w:r>
                  <w:r w:rsidR="00F96F22">
                    <w:rPr>
                      <w:sz w:val="22"/>
                      <w:szCs w:val="22"/>
                    </w:rPr>
                    <w:t xml:space="preserve"> </w:t>
                  </w:r>
                  <w:r>
                    <w:rPr>
                      <w:sz w:val="22"/>
                      <w:szCs w:val="22"/>
                    </w:rPr>
                    <w:t>In general, attendance rates for pupils eligible for PP is lower than that of Non-PP children.</w:t>
                  </w:r>
                  <w:r w:rsidR="00367099">
                    <w:rPr>
                      <w:sz w:val="22"/>
                      <w:szCs w:val="22"/>
                    </w:rPr>
                    <w:t xml:space="preserve"> </w:t>
                  </w:r>
                </w:p>
                <w:p w:rsidR="007C632A" w:rsidRPr="00D9585F" w:rsidRDefault="007C632A" w:rsidP="00982381">
                  <w:pPr>
                    <w:pStyle w:val="Default"/>
                    <w:rPr>
                      <w:sz w:val="22"/>
                      <w:szCs w:val="22"/>
                    </w:rPr>
                  </w:pPr>
                  <w:r>
                    <w:rPr>
                      <w:sz w:val="22"/>
                      <w:szCs w:val="22"/>
                    </w:rPr>
                    <w:t xml:space="preserve">B. </w:t>
                  </w:r>
                  <w:r w:rsidR="00F96F22" w:rsidRPr="00367099">
                    <w:rPr>
                      <w:b/>
                      <w:sz w:val="22"/>
                      <w:szCs w:val="22"/>
                    </w:rPr>
                    <w:t>Social Care Needs</w:t>
                  </w:r>
                  <w:r w:rsidR="00F96F22">
                    <w:rPr>
                      <w:sz w:val="22"/>
                      <w:szCs w:val="22"/>
                    </w:rPr>
                    <w:t>:</w:t>
                  </w:r>
                  <w:r w:rsidR="00367099">
                    <w:rPr>
                      <w:sz w:val="22"/>
                      <w:szCs w:val="22"/>
                    </w:rPr>
                    <w:t xml:space="preserve"> </w:t>
                  </w:r>
                  <w:r>
                    <w:rPr>
                      <w:sz w:val="22"/>
                      <w:szCs w:val="22"/>
                    </w:rPr>
                    <w:t xml:space="preserve">A high number of pupils are subject to Child in Need or Child Protection Plans. This impacts on their emotional well-being and can affect their ability to learn. </w:t>
                  </w:r>
                </w:p>
              </w:tc>
            </w:tr>
          </w:tbl>
          <w:p w:rsidR="007C632A" w:rsidRDefault="007C632A" w:rsidP="00575315">
            <w:pPr>
              <w:spacing w:after="100" w:afterAutospacing="1"/>
              <w:rPr>
                <w:rFonts w:ascii="Arial" w:hAnsi="Arial" w:cs="Arial"/>
                <w:color w:val="000000"/>
              </w:rPr>
            </w:pPr>
          </w:p>
        </w:tc>
      </w:tr>
      <w:tr w:rsidR="007C632A" w:rsidTr="006E589C">
        <w:trPr>
          <w:trHeight w:val="252"/>
        </w:trPr>
        <w:tc>
          <w:tcPr>
            <w:tcW w:w="15452" w:type="dxa"/>
          </w:tcPr>
          <w:p w:rsidR="006E589C" w:rsidRPr="00DF0DE8" w:rsidRDefault="006E589C" w:rsidP="006E589C">
            <w:pPr>
              <w:rPr>
                <w:b/>
                <w:color w:val="FF0000"/>
                <w:sz w:val="24"/>
                <w:szCs w:val="24"/>
              </w:rPr>
            </w:pPr>
            <w:r w:rsidRPr="00DF0DE8">
              <w:rPr>
                <w:b/>
                <w:color w:val="FF0000"/>
                <w:sz w:val="24"/>
                <w:szCs w:val="24"/>
              </w:rPr>
              <w:t>Impact for year 2018-19</w:t>
            </w:r>
          </w:p>
          <w:p w:rsidR="006E589C" w:rsidRDefault="006E589C" w:rsidP="006E589C">
            <w:r w:rsidRPr="006F5BED">
              <w:rPr>
                <w:b/>
              </w:rPr>
              <w:t>Attendance</w:t>
            </w:r>
            <w:r>
              <w:t>: Although the attendance for Disadvantaged PP over 2018/19 was 94.3% (which is lower than National all pupils), this was a significant increase on the previous year at 92%. Attendance improved for PP children from 2017/18 to 18/19 by 2.3%.</w:t>
            </w:r>
          </w:p>
          <w:p w:rsidR="006E589C" w:rsidRDefault="006E589C" w:rsidP="006E589C">
            <w:r w:rsidRPr="006F5BED">
              <w:rPr>
                <w:b/>
              </w:rPr>
              <w:t>EYFS</w:t>
            </w:r>
            <w:r>
              <w:t xml:space="preserve">: GLD 2018/19   61% of our disadvantaged PP children achieved the GLD compared to 47% of Non-PP. For PP children, this was an increase of 21% on the previous year. </w:t>
            </w:r>
          </w:p>
          <w:p w:rsidR="006E589C" w:rsidRDefault="006E589C" w:rsidP="006E589C">
            <w:r w:rsidRPr="006F5BED">
              <w:rPr>
                <w:b/>
              </w:rPr>
              <w:t>Phonics Year 1</w:t>
            </w:r>
            <w:r w:rsidRPr="00CC4841">
              <w:t xml:space="preserve">:  In 2018/19 </w:t>
            </w:r>
            <w:r>
              <w:t>-</w:t>
            </w:r>
            <w:r w:rsidRPr="00CC4841">
              <w:t xml:space="preserve"> 75% Disadvantaged PP achieved the Phonics expectations for Year 1 children. This was a significant</w:t>
            </w:r>
            <w:r>
              <w:t xml:space="preserve"> increase on the previous 2 year’s outcomes (2017 – 55%, 2018 50%) National for all pupils was 81.9%</w:t>
            </w:r>
          </w:p>
          <w:p w:rsidR="006E589C" w:rsidRDefault="006E589C" w:rsidP="006E589C">
            <w:r w:rsidRPr="006F5BED">
              <w:rPr>
                <w:b/>
              </w:rPr>
              <w:t>Phonics Year 2</w:t>
            </w:r>
            <w:r>
              <w:t>: In 2018/19 -82.4% of pupils achieved the Phonics expectations. This is a 10% increase from the previous 2 years and slightly lower than Non-PP children who achieved 86.4%</w:t>
            </w:r>
          </w:p>
          <w:p w:rsidR="006E589C" w:rsidRDefault="006E589C" w:rsidP="006E589C">
            <w:r w:rsidRPr="006F5BED">
              <w:rPr>
                <w:b/>
              </w:rPr>
              <w:t>Year 2 Outcomes</w:t>
            </w:r>
            <w:r>
              <w:t>: Reading - 29% of disadvantaged PP children achieved the expected reading standard compared to 50% non-PP in school.</w:t>
            </w:r>
          </w:p>
          <w:p w:rsidR="006E589C" w:rsidRDefault="006E589C" w:rsidP="006E589C">
            <w:r>
              <w:t>Writing - 41% of disadvantaged PP achieved the expected writing standard compared to 55% non-PP in school.</w:t>
            </w:r>
          </w:p>
          <w:p w:rsidR="006E589C" w:rsidRDefault="006E589C" w:rsidP="006E589C">
            <w:r>
              <w:t>Mathematics – 35% of disadvantaged PP achieved the expected mathematics standard compared to 50% non-PP in school.</w:t>
            </w:r>
          </w:p>
          <w:p w:rsidR="006E589C" w:rsidRDefault="006E589C" w:rsidP="006E589C">
            <w:r w:rsidRPr="00640440">
              <w:rPr>
                <w:b/>
              </w:rPr>
              <w:t>Year 6 Outcomes:</w:t>
            </w:r>
            <w:r>
              <w:rPr>
                <w:b/>
              </w:rPr>
              <w:t xml:space="preserve"> </w:t>
            </w:r>
            <w:r>
              <w:t>Reading - 57% of disadvantaged PP achieved the expected reading standard compared to 53% non-PP in school.</w:t>
            </w:r>
          </w:p>
          <w:p w:rsidR="006E589C" w:rsidRDefault="006E589C" w:rsidP="006E589C">
            <w:r>
              <w:t>Writing - 54% of disadvantaged PP achieved reading compared to 58% non-PP in school.</w:t>
            </w:r>
          </w:p>
          <w:p w:rsidR="00367099" w:rsidRPr="006E589C" w:rsidRDefault="006E589C" w:rsidP="006E589C">
            <w:r>
              <w:t>Mathematics – 57% of disadvantaged PP achieved reading compared to 79% non-PP in school.</w:t>
            </w:r>
          </w:p>
        </w:tc>
      </w:tr>
    </w:tbl>
    <w:tbl>
      <w:tblPr>
        <w:tblStyle w:val="TableGrid"/>
        <w:tblpPr w:leftFromText="180" w:rightFromText="180" w:vertAnchor="text" w:horzAnchor="page" w:tblpX="386" w:tblpYSpec="outside"/>
        <w:tblW w:w="15452" w:type="dxa"/>
        <w:tblLook w:val="04A0" w:firstRow="1" w:lastRow="0" w:firstColumn="1" w:lastColumn="0" w:noHBand="0" w:noVBand="1"/>
      </w:tblPr>
      <w:tblGrid>
        <w:gridCol w:w="2830"/>
        <w:gridCol w:w="2268"/>
        <w:gridCol w:w="5812"/>
        <w:gridCol w:w="1418"/>
        <w:gridCol w:w="3124"/>
      </w:tblGrid>
      <w:tr w:rsidR="00A62765" w:rsidTr="00A62765">
        <w:tc>
          <w:tcPr>
            <w:tcW w:w="15452" w:type="dxa"/>
            <w:gridSpan w:val="5"/>
          </w:tcPr>
          <w:p w:rsidR="00B64164" w:rsidRPr="00DF0DE8" w:rsidRDefault="00A62765" w:rsidP="00A62765">
            <w:pPr>
              <w:autoSpaceDE w:val="0"/>
              <w:autoSpaceDN w:val="0"/>
              <w:adjustRightInd w:val="0"/>
              <w:rPr>
                <w:rFonts w:ascii="Calibri" w:hAnsi="Calibri" w:cs="Calibri"/>
                <w:color w:val="FF0000"/>
                <w:sz w:val="24"/>
                <w:szCs w:val="24"/>
              </w:rPr>
            </w:pPr>
            <w:proofErr w:type="spellStart"/>
            <w:r w:rsidRPr="00DF0DE8">
              <w:rPr>
                <w:rFonts w:ascii="Calibri" w:hAnsi="Calibri" w:cs="Calibri"/>
                <w:b/>
                <w:color w:val="FF0000"/>
                <w:sz w:val="24"/>
                <w:szCs w:val="24"/>
              </w:rPr>
              <w:lastRenderedPageBreak/>
              <w:t>Self review</w:t>
            </w:r>
            <w:proofErr w:type="spellEnd"/>
            <w:r w:rsidRPr="00DF0DE8">
              <w:rPr>
                <w:rFonts w:ascii="Calibri" w:hAnsi="Calibri" w:cs="Calibri"/>
                <w:color w:val="FF0000"/>
                <w:sz w:val="24"/>
                <w:szCs w:val="24"/>
              </w:rPr>
              <w:t xml:space="preserve"> </w:t>
            </w:r>
          </w:p>
          <w:p w:rsidR="00B64164" w:rsidRDefault="00B64164" w:rsidP="00A62765">
            <w:pPr>
              <w:autoSpaceDE w:val="0"/>
              <w:autoSpaceDN w:val="0"/>
              <w:adjustRightInd w:val="0"/>
              <w:rPr>
                <w:rFonts w:ascii="Calibri" w:hAnsi="Calibri" w:cs="Calibri"/>
                <w:color w:val="000000"/>
              </w:rPr>
            </w:pPr>
            <w:r>
              <w:rPr>
                <w:rFonts w:ascii="Calibri" w:hAnsi="Calibri" w:cs="Calibri"/>
                <w:color w:val="000000"/>
              </w:rPr>
              <w:t>On reflection of our last year’s performance, the most disappointing outcomes were attainment and progress</w:t>
            </w:r>
            <w:r w:rsidR="00D14EC6">
              <w:rPr>
                <w:rFonts w:ascii="Calibri" w:hAnsi="Calibri" w:cs="Calibri"/>
                <w:color w:val="000000"/>
              </w:rPr>
              <w:t xml:space="preserve"> (especially in reading)</w:t>
            </w:r>
            <w:r>
              <w:rPr>
                <w:rFonts w:ascii="Calibri" w:hAnsi="Calibri" w:cs="Calibri"/>
                <w:color w:val="000000"/>
              </w:rPr>
              <w:t xml:space="preserve"> at the end of KS1 for PP children.</w:t>
            </w:r>
          </w:p>
          <w:p w:rsidR="00B64164" w:rsidRDefault="00B64164" w:rsidP="00A62765">
            <w:pPr>
              <w:autoSpaceDE w:val="0"/>
              <w:autoSpaceDN w:val="0"/>
              <w:adjustRightInd w:val="0"/>
              <w:rPr>
                <w:rFonts w:ascii="Calibri" w:hAnsi="Calibri" w:cs="Calibri"/>
                <w:color w:val="000000"/>
              </w:rPr>
            </w:pPr>
            <w:r>
              <w:rPr>
                <w:rFonts w:ascii="Calibri" w:hAnsi="Calibri" w:cs="Calibri"/>
                <w:color w:val="000000"/>
              </w:rPr>
              <w:t>The attainment and progress across the whole school for PP childre</w:t>
            </w:r>
            <w:r w:rsidR="00D14EC6">
              <w:rPr>
                <w:rFonts w:ascii="Calibri" w:hAnsi="Calibri" w:cs="Calibri"/>
                <w:color w:val="000000"/>
              </w:rPr>
              <w:t>n needs to significantly improve, impacting positively on the outcomes by the end of Year 6 so that results are in line with NA for all pupils</w:t>
            </w:r>
            <w:r>
              <w:rPr>
                <w:rFonts w:ascii="Calibri" w:hAnsi="Calibri" w:cs="Calibri"/>
                <w:color w:val="000000"/>
              </w:rPr>
              <w:t>.</w:t>
            </w:r>
            <w:r w:rsidR="00D14EC6">
              <w:rPr>
                <w:rFonts w:ascii="Calibri" w:hAnsi="Calibri" w:cs="Calibri"/>
                <w:color w:val="000000"/>
              </w:rPr>
              <w:t xml:space="preserve"> </w:t>
            </w:r>
          </w:p>
          <w:p w:rsidR="00A62765" w:rsidRDefault="00D14EC6" w:rsidP="00D14EC6">
            <w:pPr>
              <w:autoSpaceDE w:val="0"/>
              <w:autoSpaceDN w:val="0"/>
              <w:adjustRightInd w:val="0"/>
            </w:pPr>
            <w:r>
              <w:rPr>
                <w:rFonts w:ascii="Calibri" w:hAnsi="Calibri" w:cs="Calibri"/>
                <w:color w:val="000000"/>
              </w:rPr>
              <w:t>The following plan will outline how and why the PP funding will be spent over the following year.</w:t>
            </w:r>
          </w:p>
        </w:tc>
      </w:tr>
      <w:tr w:rsidR="00AF7A64" w:rsidRPr="00AA123F" w:rsidTr="00DF0DE8">
        <w:trPr>
          <w:trHeight w:val="385"/>
        </w:trPr>
        <w:tc>
          <w:tcPr>
            <w:tcW w:w="2830" w:type="dxa"/>
            <w:shd w:val="clear" w:color="auto" w:fill="FFD966" w:themeFill="accent4" w:themeFillTint="99"/>
          </w:tcPr>
          <w:p w:rsidR="00A62765" w:rsidRPr="00AA123F" w:rsidRDefault="00B64164" w:rsidP="00A62765">
            <w:pPr>
              <w:autoSpaceDE w:val="0"/>
              <w:autoSpaceDN w:val="0"/>
              <w:adjustRightInd w:val="0"/>
              <w:rPr>
                <w:rFonts w:ascii="Calibri" w:hAnsi="Calibri" w:cs="Calibri"/>
                <w:color w:val="000000"/>
              </w:rPr>
            </w:pPr>
            <w:r>
              <w:rPr>
                <w:rFonts w:ascii="Calibri" w:hAnsi="Calibri" w:cs="Calibri"/>
                <w:b/>
                <w:bCs/>
                <w:i/>
                <w:iCs/>
                <w:color w:val="000000"/>
              </w:rPr>
              <w:t>Desired outcome</w:t>
            </w:r>
            <w:r w:rsidR="00A32EBC">
              <w:rPr>
                <w:rFonts w:ascii="Calibri" w:hAnsi="Calibri" w:cs="Calibri"/>
                <w:b/>
                <w:bCs/>
                <w:i/>
                <w:iCs/>
                <w:color w:val="000000"/>
              </w:rPr>
              <w:t>:</w:t>
            </w:r>
          </w:p>
        </w:tc>
        <w:tc>
          <w:tcPr>
            <w:tcW w:w="2268" w:type="dxa"/>
            <w:shd w:val="clear" w:color="auto" w:fill="FFD966" w:themeFill="accent4" w:themeFillTint="99"/>
          </w:tcPr>
          <w:p w:rsidR="00A62765" w:rsidRPr="00AA123F" w:rsidRDefault="00B64164" w:rsidP="00A62765">
            <w:pPr>
              <w:autoSpaceDE w:val="0"/>
              <w:autoSpaceDN w:val="0"/>
              <w:adjustRightInd w:val="0"/>
              <w:rPr>
                <w:rFonts w:ascii="Calibri" w:hAnsi="Calibri" w:cs="Calibri"/>
                <w:color w:val="000000"/>
              </w:rPr>
            </w:pPr>
            <w:r>
              <w:rPr>
                <w:rFonts w:ascii="Calibri" w:hAnsi="Calibri" w:cs="Calibri"/>
                <w:b/>
                <w:bCs/>
                <w:i/>
                <w:iCs/>
                <w:color w:val="000000"/>
              </w:rPr>
              <w:t>Rationale</w:t>
            </w:r>
            <w:r w:rsidR="00A32EBC">
              <w:rPr>
                <w:rFonts w:ascii="Calibri" w:hAnsi="Calibri" w:cs="Calibri"/>
                <w:b/>
                <w:bCs/>
                <w:i/>
                <w:iCs/>
                <w:color w:val="000000"/>
              </w:rPr>
              <w:t>:</w:t>
            </w:r>
            <w:r w:rsidR="00A62765" w:rsidRPr="00AA123F">
              <w:rPr>
                <w:rFonts w:ascii="Calibri" w:hAnsi="Calibri" w:cs="Calibri"/>
                <w:b/>
                <w:bCs/>
                <w:i/>
                <w:iCs/>
                <w:color w:val="000000"/>
              </w:rPr>
              <w:t xml:space="preserve"> </w:t>
            </w:r>
          </w:p>
        </w:tc>
        <w:tc>
          <w:tcPr>
            <w:tcW w:w="5812" w:type="dxa"/>
            <w:shd w:val="clear" w:color="auto" w:fill="FFD966" w:themeFill="accent4" w:themeFillTint="99"/>
          </w:tcPr>
          <w:p w:rsidR="00A62765" w:rsidRPr="00AA123F" w:rsidRDefault="00B64164" w:rsidP="00A62765">
            <w:pPr>
              <w:autoSpaceDE w:val="0"/>
              <w:autoSpaceDN w:val="0"/>
              <w:adjustRightInd w:val="0"/>
              <w:rPr>
                <w:rFonts w:ascii="Calibri" w:hAnsi="Calibri" w:cs="Calibri"/>
                <w:color w:val="000000"/>
              </w:rPr>
            </w:pPr>
            <w:r>
              <w:rPr>
                <w:rFonts w:ascii="Calibri" w:hAnsi="Calibri" w:cs="Calibri"/>
                <w:b/>
                <w:bCs/>
                <w:i/>
                <w:iCs/>
                <w:color w:val="000000"/>
              </w:rPr>
              <w:t>Action</w:t>
            </w:r>
            <w:r w:rsidR="00A32EBC">
              <w:rPr>
                <w:rFonts w:ascii="Calibri" w:hAnsi="Calibri" w:cs="Calibri"/>
                <w:b/>
                <w:bCs/>
                <w:i/>
                <w:iCs/>
                <w:color w:val="000000"/>
              </w:rPr>
              <w:t>:</w:t>
            </w:r>
          </w:p>
        </w:tc>
        <w:tc>
          <w:tcPr>
            <w:tcW w:w="1418" w:type="dxa"/>
            <w:shd w:val="clear" w:color="auto" w:fill="FFD966" w:themeFill="accent4" w:themeFillTint="99"/>
          </w:tcPr>
          <w:p w:rsidR="00A62765" w:rsidRPr="00AA123F" w:rsidRDefault="00B64164" w:rsidP="00A62765">
            <w:pPr>
              <w:autoSpaceDE w:val="0"/>
              <w:autoSpaceDN w:val="0"/>
              <w:adjustRightInd w:val="0"/>
              <w:rPr>
                <w:rFonts w:ascii="Calibri" w:hAnsi="Calibri" w:cs="Calibri"/>
                <w:color w:val="000000"/>
              </w:rPr>
            </w:pPr>
            <w:r>
              <w:rPr>
                <w:rFonts w:ascii="Calibri" w:hAnsi="Calibri" w:cs="Calibri"/>
                <w:b/>
                <w:bCs/>
                <w:i/>
                <w:iCs/>
                <w:color w:val="000000"/>
              </w:rPr>
              <w:t>Costings</w:t>
            </w:r>
            <w:r w:rsidR="00A62765" w:rsidRPr="00AA123F">
              <w:rPr>
                <w:rFonts w:ascii="Calibri" w:hAnsi="Calibri" w:cs="Calibri"/>
                <w:b/>
                <w:bCs/>
                <w:i/>
                <w:iCs/>
                <w:color w:val="000000"/>
              </w:rPr>
              <w:t xml:space="preserve"> </w:t>
            </w:r>
          </w:p>
        </w:tc>
        <w:tc>
          <w:tcPr>
            <w:tcW w:w="3124" w:type="dxa"/>
            <w:shd w:val="clear" w:color="auto" w:fill="FFD966" w:themeFill="accent4" w:themeFillTint="99"/>
          </w:tcPr>
          <w:p w:rsidR="00A62765" w:rsidRPr="00AA123F" w:rsidRDefault="00A62765" w:rsidP="00A62765">
            <w:pPr>
              <w:autoSpaceDE w:val="0"/>
              <w:autoSpaceDN w:val="0"/>
              <w:adjustRightInd w:val="0"/>
              <w:rPr>
                <w:rFonts w:ascii="Calibri" w:hAnsi="Calibri" w:cs="Calibri"/>
                <w:color w:val="000000"/>
              </w:rPr>
            </w:pPr>
            <w:r w:rsidRPr="00AA123F">
              <w:rPr>
                <w:rFonts w:ascii="Calibri" w:hAnsi="Calibri" w:cs="Calibri"/>
                <w:b/>
                <w:bCs/>
                <w:i/>
                <w:iCs/>
                <w:color w:val="000000"/>
              </w:rPr>
              <w:t xml:space="preserve">MONITORING/EVIDENCE OF IMPACT </w:t>
            </w:r>
          </w:p>
        </w:tc>
      </w:tr>
      <w:tr w:rsidR="00AF7A64" w:rsidRPr="00AA123F" w:rsidTr="00DF0DE8">
        <w:trPr>
          <w:trHeight w:val="983"/>
        </w:trPr>
        <w:tc>
          <w:tcPr>
            <w:tcW w:w="2830" w:type="dxa"/>
          </w:tcPr>
          <w:p w:rsidR="00A62765" w:rsidRDefault="00A32EBC" w:rsidP="00B64164">
            <w:pPr>
              <w:autoSpaceDE w:val="0"/>
              <w:autoSpaceDN w:val="0"/>
              <w:adjustRightInd w:val="0"/>
              <w:rPr>
                <w:rFonts w:ascii="Calibri" w:hAnsi="Calibri" w:cs="Calibri"/>
                <w:b/>
                <w:bCs/>
                <w:color w:val="000000"/>
              </w:rPr>
            </w:pPr>
            <w:r>
              <w:rPr>
                <w:rFonts w:ascii="Calibri" w:hAnsi="Calibri" w:cs="Calibri"/>
                <w:b/>
                <w:bCs/>
                <w:color w:val="000000"/>
              </w:rPr>
              <w:t>To raise attainment and progress across the school for PP children</w:t>
            </w:r>
            <w:r w:rsidR="00DF0DE8">
              <w:rPr>
                <w:rFonts w:ascii="Calibri" w:hAnsi="Calibri" w:cs="Calibri"/>
                <w:b/>
                <w:bCs/>
                <w:color w:val="000000"/>
              </w:rPr>
              <w:t xml:space="preserve"> in reading, writing and maths</w:t>
            </w:r>
          </w:p>
          <w:p w:rsidR="00B64164" w:rsidRDefault="00B64164" w:rsidP="00B64164">
            <w:pPr>
              <w:autoSpaceDE w:val="0"/>
              <w:autoSpaceDN w:val="0"/>
              <w:adjustRightInd w:val="0"/>
              <w:rPr>
                <w:rFonts w:ascii="Calibri" w:hAnsi="Calibri" w:cs="Calibri"/>
                <w:b/>
                <w:bCs/>
                <w:color w:val="000000"/>
              </w:rPr>
            </w:pPr>
          </w:p>
          <w:p w:rsidR="00B64164" w:rsidRDefault="00B64164" w:rsidP="00B64164">
            <w:pPr>
              <w:autoSpaceDE w:val="0"/>
              <w:autoSpaceDN w:val="0"/>
              <w:adjustRightInd w:val="0"/>
              <w:rPr>
                <w:rFonts w:ascii="Calibri" w:hAnsi="Calibri" w:cs="Calibri"/>
                <w:b/>
                <w:bCs/>
                <w:color w:val="000000"/>
              </w:rPr>
            </w:pPr>
          </w:p>
          <w:p w:rsidR="00B64164" w:rsidRDefault="00B64164" w:rsidP="00B64164">
            <w:pPr>
              <w:autoSpaceDE w:val="0"/>
              <w:autoSpaceDN w:val="0"/>
              <w:adjustRightInd w:val="0"/>
              <w:rPr>
                <w:rFonts w:ascii="Calibri" w:hAnsi="Calibri" w:cs="Calibri"/>
                <w:b/>
                <w:bCs/>
                <w:color w:val="000000"/>
              </w:rPr>
            </w:pPr>
          </w:p>
          <w:p w:rsidR="00B64164" w:rsidRDefault="00B64164" w:rsidP="00B64164">
            <w:pPr>
              <w:autoSpaceDE w:val="0"/>
              <w:autoSpaceDN w:val="0"/>
              <w:adjustRightInd w:val="0"/>
              <w:rPr>
                <w:rFonts w:ascii="Calibri" w:hAnsi="Calibri" w:cs="Calibri"/>
                <w:b/>
                <w:bCs/>
                <w:color w:val="000000"/>
              </w:rPr>
            </w:pPr>
          </w:p>
          <w:p w:rsidR="00B64164" w:rsidRDefault="00B64164" w:rsidP="00B64164">
            <w:pPr>
              <w:autoSpaceDE w:val="0"/>
              <w:autoSpaceDN w:val="0"/>
              <w:adjustRightInd w:val="0"/>
              <w:rPr>
                <w:rFonts w:ascii="Calibri" w:hAnsi="Calibri" w:cs="Calibri"/>
                <w:b/>
                <w:bCs/>
                <w:color w:val="000000"/>
              </w:rPr>
            </w:pPr>
          </w:p>
          <w:p w:rsidR="00B64164" w:rsidRDefault="00B64164" w:rsidP="00B64164">
            <w:pPr>
              <w:autoSpaceDE w:val="0"/>
              <w:autoSpaceDN w:val="0"/>
              <w:adjustRightInd w:val="0"/>
              <w:rPr>
                <w:rFonts w:ascii="Calibri" w:hAnsi="Calibri" w:cs="Calibri"/>
                <w:b/>
                <w:bCs/>
                <w:color w:val="000000"/>
              </w:rPr>
            </w:pPr>
          </w:p>
          <w:p w:rsidR="00B64164" w:rsidRPr="00AA123F" w:rsidRDefault="00B64164" w:rsidP="00B64164">
            <w:pPr>
              <w:autoSpaceDE w:val="0"/>
              <w:autoSpaceDN w:val="0"/>
              <w:adjustRightInd w:val="0"/>
              <w:rPr>
                <w:rFonts w:ascii="Calibri" w:hAnsi="Calibri" w:cs="Calibri"/>
                <w:color w:val="000000"/>
              </w:rPr>
            </w:pPr>
          </w:p>
        </w:tc>
        <w:tc>
          <w:tcPr>
            <w:tcW w:w="2268" w:type="dxa"/>
          </w:tcPr>
          <w:p w:rsidR="00A62765" w:rsidRPr="00AA123F" w:rsidRDefault="00A32EBC" w:rsidP="00A32EBC">
            <w:pPr>
              <w:autoSpaceDE w:val="0"/>
              <w:autoSpaceDN w:val="0"/>
              <w:adjustRightInd w:val="0"/>
              <w:rPr>
                <w:rFonts w:ascii="Calibri" w:hAnsi="Calibri" w:cs="Calibri"/>
                <w:color w:val="000000"/>
              </w:rPr>
            </w:pPr>
            <w:r>
              <w:rPr>
                <w:rFonts w:ascii="Calibri" w:hAnsi="Calibri" w:cs="Calibri"/>
                <w:color w:val="000000"/>
              </w:rPr>
              <w:t>Attainment and Progress by the end of both Key stages are significantly lower than that of Non-PP</w:t>
            </w:r>
          </w:p>
        </w:tc>
        <w:tc>
          <w:tcPr>
            <w:tcW w:w="5812" w:type="dxa"/>
          </w:tcPr>
          <w:p w:rsidR="00A62765" w:rsidRDefault="00A32EBC" w:rsidP="00A62765">
            <w:pPr>
              <w:autoSpaceDE w:val="0"/>
              <w:autoSpaceDN w:val="0"/>
              <w:adjustRightInd w:val="0"/>
              <w:rPr>
                <w:rFonts w:ascii="Calibri" w:hAnsi="Calibri" w:cs="Calibri"/>
                <w:color w:val="000000"/>
              </w:rPr>
            </w:pPr>
            <w:r>
              <w:rPr>
                <w:rFonts w:ascii="Calibri" w:hAnsi="Calibri" w:cs="Calibri"/>
                <w:color w:val="000000"/>
              </w:rPr>
              <w:t>Small class sizes in Key Stage 1, ensuring PP children are tracked effectively and receive high quality teaching</w:t>
            </w:r>
            <w:r w:rsidR="002038F7">
              <w:rPr>
                <w:rFonts w:ascii="Calibri" w:hAnsi="Calibri" w:cs="Calibri"/>
                <w:color w:val="000000"/>
              </w:rPr>
              <w:t>.</w:t>
            </w:r>
            <w:r>
              <w:rPr>
                <w:rFonts w:ascii="Calibri" w:hAnsi="Calibri" w:cs="Calibri"/>
                <w:color w:val="000000"/>
              </w:rPr>
              <w:t xml:space="preserve"> </w:t>
            </w:r>
          </w:p>
          <w:p w:rsidR="00A32EBC" w:rsidRDefault="00A32EBC" w:rsidP="00A62765">
            <w:pPr>
              <w:autoSpaceDE w:val="0"/>
              <w:autoSpaceDN w:val="0"/>
              <w:adjustRightInd w:val="0"/>
              <w:rPr>
                <w:rFonts w:ascii="Calibri" w:hAnsi="Calibri" w:cs="Calibri"/>
                <w:color w:val="000000"/>
              </w:rPr>
            </w:pPr>
            <w:r>
              <w:rPr>
                <w:rFonts w:ascii="Calibri" w:hAnsi="Calibri" w:cs="Calibri"/>
                <w:color w:val="000000"/>
              </w:rPr>
              <w:t xml:space="preserve">(classes of </w:t>
            </w:r>
            <w:proofErr w:type="spellStart"/>
            <w:r>
              <w:rPr>
                <w:rFonts w:ascii="Calibri" w:hAnsi="Calibri" w:cs="Calibri"/>
                <w:color w:val="000000"/>
              </w:rPr>
              <w:t>approx</w:t>
            </w:r>
            <w:proofErr w:type="spellEnd"/>
            <w:r>
              <w:rPr>
                <w:rFonts w:ascii="Calibri" w:hAnsi="Calibri" w:cs="Calibri"/>
                <w:color w:val="000000"/>
              </w:rPr>
              <w:t xml:space="preserve"> 15 </w:t>
            </w:r>
            <w:proofErr w:type="spellStart"/>
            <w:r>
              <w:rPr>
                <w:rFonts w:ascii="Calibri" w:hAnsi="Calibri" w:cs="Calibri"/>
                <w:color w:val="000000"/>
              </w:rPr>
              <w:t>ch</w:t>
            </w:r>
            <w:proofErr w:type="spellEnd"/>
            <w:r>
              <w:rPr>
                <w:rFonts w:ascii="Calibri" w:hAnsi="Calibri" w:cs="Calibri"/>
                <w:color w:val="000000"/>
              </w:rPr>
              <w:t xml:space="preserve"> in Y1 and Y2)</w:t>
            </w:r>
          </w:p>
          <w:p w:rsidR="00A32EBC" w:rsidRDefault="00A32EBC" w:rsidP="00A62765">
            <w:pPr>
              <w:autoSpaceDE w:val="0"/>
              <w:autoSpaceDN w:val="0"/>
              <w:adjustRightInd w:val="0"/>
              <w:rPr>
                <w:rFonts w:ascii="Calibri" w:hAnsi="Calibri" w:cs="Calibri"/>
                <w:color w:val="000000"/>
              </w:rPr>
            </w:pPr>
          </w:p>
          <w:p w:rsidR="00A32EBC" w:rsidRDefault="00863940" w:rsidP="00A62765">
            <w:pPr>
              <w:autoSpaceDE w:val="0"/>
              <w:autoSpaceDN w:val="0"/>
              <w:adjustRightInd w:val="0"/>
              <w:rPr>
                <w:rFonts w:ascii="Calibri" w:hAnsi="Calibri" w:cs="Calibri"/>
                <w:color w:val="000000"/>
              </w:rPr>
            </w:pPr>
            <w:r>
              <w:rPr>
                <w:rFonts w:ascii="Calibri" w:hAnsi="Calibri" w:cs="Calibri"/>
                <w:color w:val="000000"/>
              </w:rPr>
              <w:t>Small class sizes in Y6 for Maths and English (Inclusion lead as additional teacher, to support with raising standards of PP and SEN children)</w:t>
            </w:r>
          </w:p>
          <w:p w:rsidR="002038F7" w:rsidRDefault="002038F7" w:rsidP="00A62765">
            <w:pPr>
              <w:autoSpaceDE w:val="0"/>
              <w:autoSpaceDN w:val="0"/>
              <w:adjustRightInd w:val="0"/>
              <w:rPr>
                <w:rFonts w:ascii="Calibri" w:hAnsi="Calibri" w:cs="Calibri"/>
                <w:color w:val="000000"/>
              </w:rPr>
            </w:pPr>
          </w:p>
          <w:p w:rsidR="002038F7" w:rsidRDefault="002038F7" w:rsidP="00A62765">
            <w:pPr>
              <w:autoSpaceDE w:val="0"/>
              <w:autoSpaceDN w:val="0"/>
              <w:adjustRightInd w:val="0"/>
              <w:rPr>
                <w:rFonts w:ascii="Calibri" w:hAnsi="Calibri" w:cs="Calibri"/>
                <w:color w:val="000000"/>
              </w:rPr>
            </w:pPr>
            <w:r>
              <w:rPr>
                <w:rFonts w:ascii="Calibri" w:hAnsi="Calibri" w:cs="Calibri"/>
                <w:color w:val="000000"/>
              </w:rPr>
              <w:t>Develop a creative curriculum, giving children rich real-life opportunities and a purpose for their learning. (trips/resources)</w:t>
            </w:r>
            <w:r w:rsidR="00DF35CB">
              <w:rPr>
                <w:rFonts w:ascii="Calibri" w:hAnsi="Calibri" w:cs="Calibri"/>
                <w:color w:val="000000"/>
              </w:rPr>
              <w:t>, enabling links across the curriculum to allow children to retain information</w:t>
            </w:r>
          </w:p>
          <w:p w:rsidR="000A7F47" w:rsidRDefault="000A7F47" w:rsidP="00A62765">
            <w:pPr>
              <w:autoSpaceDE w:val="0"/>
              <w:autoSpaceDN w:val="0"/>
              <w:adjustRightInd w:val="0"/>
              <w:rPr>
                <w:rFonts w:ascii="Calibri" w:hAnsi="Calibri" w:cs="Calibri"/>
                <w:color w:val="000000"/>
              </w:rPr>
            </w:pPr>
          </w:p>
          <w:p w:rsidR="000A7F47" w:rsidRDefault="000A7F47" w:rsidP="00A62765">
            <w:pPr>
              <w:autoSpaceDE w:val="0"/>
              <w:autoSpaceDN w:val="0"/>
              <w:adjustRightInd w:val="0"/>
              <w:rPr>
                <w:rFonts w:ascii="Calibri" w:hAnsi="Calibri" w:cs="Calibri"/>
                <w:color w:val="000000"/>
              </w:rPr>
            </w:pPr>
            <w:r>
              <w:rPr>
                <w:rFonts w:ascii="Calibri" w:hAnsi="Calibri" w:cs="Calibri"/>
                <w:color w:val="000000"/>
              </w:rPr>
              <w:t>CPD opportunities for all subject leads to ensure they are confident to lead their subject, ensuring all PP children can access the range of curriculum areas</w:t>
            </w:r>
            <w:r w:rsidR="003429DE">
              <w:rPr>
                <w:rFonts w:ascii="Calibri" w:hAnsi="Calibri" w:cs="Calibri"/>
                <w:color w:val="000000"/>
              </w:rPr>
              <w:t xml:space="preserve"> including CPD in (inclusion) for reading, phonics, maths, Science, ICT, PE</w:t>
            </w:r>
          </w:p>
          <w:p w:rsidR="000B782C" w:rsidRDefault="000B782C" w:rsidP="00A62765">
            <w:pPr>
              <w:autoSpaceDE w:val="0"/>
              <w:autoSpaceDN w:val="0"/>
              <w:adjustRightInd w:val="0"/>
              <w:rPr>
                <w:rFonts w:ascii="Calibri" w:hAnsi="Calibri" w:cs="Calibri"/>
                <w:color w:val="000000"/>
              </w:rPr>
            </w:pPr>
          </w:p>
          <w:p w:rsidR="00AF7A64" w:rsidRDefault="00AF7A64" w:rsidP="00A62765">
            <w:pPr>
              <w:autoSpaceDE w:val="0"/>
              <w:autoSpaceDN w:val="0"/>
              <w:adjustRightInd w:val="0"/>
              <w:rPr>
                <w:rFonts w:ascii="Calibri" w:hAnsi="Calibri" w:cs="Calibri"/>
                <w:color w:val="000000"/>
              </w:rPr>
            </w:pPr>
            <w:r>
              <w:rPr>
                <w:rFonts w:ascii="Calibri" w:hAnsi="Calibri" w:cs="Calibri"/>
                <w:color w:val="000000"/>
              </w:rPr>
              <w:t xml:space="preserve"> Language i</w:t>
            </w:r>
            <w:r w:rsidR="000B782C">
              <w:rPr>
                <w:rFonts w:ascii="Calibri" w:hAnsi="Calibri" w:cs="Calibri"/>
                <w:color w:val="000000"/>
              </w:rPr>
              <w:t>nterventions in EYFS (Early Talk boost</w:t>
            </w:r>
            <w:r w:rsidR="00CF5884">
              <w:rPr>
                <w:rFonts w:ascii="Calibri" w:hAnsi="Calibri" w:cs="Calibri"/>
                <w:color w:val="000000"/>
              </w:rPr>
              <w:t>/Talk boost</w:t>
            </w:r>
            <w:r>
              <w:rPr>
                <w:rFonts w:ascii="Calibri" w:hAnsi="Calibri" w:cs="Calibri"/>
                <w:color w:val="000000"/>
              </w:rPr>
              <w:t>)</w:t>
            </w:r>
          </w:p>
          <w:p w:rsidR="00CB03F5" w:rsidRDefault="00CB03F5" w:rsidP="00A62765">
            <w:pPr>
              <w:autoSpaceDE w:val="0"/>
              <w:autoSpaceDN w:val="0"/>
              <w:adjustRightInd w:val="0"/>
              <w:rPr>
                <w:rFonts w:ascii="Calibri" w:hAnsi="Calibri" w:cs="Calibri"/>
                <w:color w:val="000000"/>
              </w:rPr>
            </w:pPr>
            <w:r>
              <w:rPr>
                <w:rFonts w:ascii="Calibri" w:hAnsi="Calibri" w:cs="Calibri"/>
                <w:color w:val="000000"/>
              </w:rPr>
              <w:t>Training and Materials</w:t>
            </w:r>
            <w:bookmarkStart w:id="0" w:name="_GoBack"/>
            <w:bookmarkEnd w:id="0"/>
          </w:p>
          <w:p w:rsidR="003429DE" w:rsidRDefault="003429DE" w:rsidP="00A62765">
            <w:pPr>
              <w:autoSpaceDE w:val="0"/>
              <w:autoSpaceDN w:val="0"/>
              <w:adjustRightInd w:val="0"/>
              <w:rPr>
                <w:rFonts w:ascii="Calibri" w:hAnsi="Calibri" w:cs="Calibri"/>
                <w:color w:val="000000"/>
              </w:rPr>
            </w:pPr>
          </w:p>
          <w:p w:rsidR="003429DE" w:rsidRPr="00AA123F" w:rsidRDefault="003429DE" w:rsidP="00A62765">
            <w:pPr>
              <w:autoSpaceDE w:val="0"/>
              <w:autoSpaceDN w:val="0"/>
              <w:adjustRightInd w:val="0"/>
              <w:rPr>
                <w:rFonts w:ascii="Calibri" w:hAnsi="Calibri" w:cs="Calibri"/>
                <w:color w:val="000000"/>
              </w:rPr>
            </w:pPr>
            <w:r>
              <w:rPr>
                <w:rFonts w:ascii="Calibri" w:hAnsi="Calibri" w:cs="Calibri"/>
                <w:color w:val="000000"/>
              </w:rPr>
              <w:t>Teaching Assistants training in supporting lower  ability children (NT) Intervention training (reading, writing, maths)</w:t>
            </w:r>
          </w:p>
        </w:tc>
        <w:tc>
          <w:tcPr>
            <w:tcW w:w="1418" w:type="dxa"/>
          </w:tcPr>
          <w:p w:rsidR="00A62765" w:rsidRDefault="00A62765" w:rsidP="00A62765">
            <w:pPr>
              <w:autoSpaceDE w:val="0"/>
              <w:autoSpaceDN w:val="0"/>
              <w:adjustRightInd w:val="0"/>
              <w:rPr>
                <w:rFonts w:ascii="Calibri" w:hAnsi="Calibri" w:cs="Calibri"/>
                <w:color w:val="000000"/>
              </w:rPr>
            </w:pPr>
            <w:r w:rsidRPr="00AA123F">
              <w:rPr>
                <w:rFonts w:ascii="Calibri" w:hAnsi="Calibri" w:cs="Calibri"/>
                <w:color w:val="000000"/>
              </w:rPr>
              <w:t xml:space="preserve"> </w:t>
            </w:r>
            <w:r w:rsidR="00A32EBC">
              <w:rPr>
                <w:rFonts w:ascii="Calibri" w:hAnsi="Calibri" w:cs="Calibri"/>
                <w:color w:val="000000"/>
              </w:rPr>
              <w:t>NQT</w:t>
            </w:r>
          </w:p>
          <w:p w:rsidR="00A32EBC" w:rsidRDefault="00A32EBC" w:rsidP="00A62765">
            <w:pPr>
              <w:autoSpaceDE w:val="0"/>
              <w:autoSpaceDN w:val="0"/>
              <w:adjustRightInd w:val="0"/>
              <w:rPr>
                <w:rFonts w:ascii="Calibri" w:hAnsi="Calibri" w:cs="Calibri"/>
                <w:color w:val="000000"/>
              </w:rPr>
            </w:pPr>
            <w:r>
              <w:rPr>
                <w:rFonts w:ascii="Calibri" w:hAnsi="Calibri" w:cs="Calibri"/>
                <w:color w:val="000000"/>
              </w:rPr>
              <w:t>£24,00</w:t>
            </w:r>
            <w:r w:rsidR="00AF7A64">
              <w:rPr>
                <w:rFonts w:ascii="Calibri" w:hAnsi="Calibri" w:cs="Calibri"/>
                <w:color w:val="000000"/>
              </w:rPr>
              <w:t>0</w:t>
            </w:r>
          </w:p>
          <w:p w:rsidR="00AF7A64" w:rsidRDefault="00AF7A64" w:rsidP="00A62765">
            <w:pPr>
              <w:autoSpaceDE w:val="0"/>
              <w:autoSpaceDN w:val="0"/>
              <w:adjustRightInd w:val="0"/>
              <w:rPr>
                <w:rFonts w:ascii="Calibri" w:hAnsi="Calibri" w:cs="Calibri"/>
                <w:color w:val="000000"/>
              </w:rPr>
            </w:pPr>
          </w:p>
          <w:p w:rsidR="00AF7A64" w:rsidRDefault="00AF7A64" w:rsidP="00A62765">
            <w:pPr>
              <w:autoSpaceDE w:val="0"/>
              <w:autoSpaceDN w:val="0"/>
              <w:adjustRightInd w:val="0"/>
              <w:rPr>
                <w:rFonts w:ascii="Calibri" w:hAnsi="Calibri" w:cs="Calibri"/>
                <w:color w:val="000000"/>
              </w:rPr>
            </w:pPr>
            <w:r>
              <w:rPr>
                <w:rFonts w:ascii="Calibri" w:hAnsi="Calibri" w:cs="Calibri"/>
                <w:color w:val="000000"/>
              </w:rPr>
              <w:t>Experienced</w:t>
            </w:r>
          </w:p>
          <w:p w:rsidR="00AF7A64" w:rsidRDefault="00AF7A64" w:rsidP="00A62765">
            <w:pPr>
              <w:autoSpaceDE w:val="0"/>
              <w:autoSpaceDN w:val="0"/>
              <w:adjustRightInd w:val="0"/>
              <w:rPr>
                <w:rFonts w:ascii="Calibri" w:hAnsi="Calibri" w:cs="Calibri"/>
                <w:color w:val="000000"/>
              </w:rPr>
            </w:pPr>
            <w:r>
              <w:rPr>
                <w:rFonts w:ascii="Calibri" w:hAnsi="Calibri" w:cs="Calibri"/>
                <w:color w:val="000000"/>
              </w:rPr>
              <w:t>£35,008</w:t>
            </w:r>
          </w:p>
          <w:p w:rsidR="002038F7" w:rsidRDefault="002038F7" w:rsidP="00A62765">
            <w:pPr>
              <w:autoSpaceDE w:val="0"/>
              <w:autoSpaceDN w:val="0"/>
              <w:adjustRightInd w:val="0"/>
              <w:rPr>
                <w:rFonts w:ascii="Calibri" w:hAnsi="Calibri" w:cs="Calibri"/>
                <w:color w:val="000000"/>
              </w:rPr>
            </w:pPr>
          </w:p>
          <w:p w:rsidR="002038F7" w:rsidRDefault="002038F7" w:rsidP="00A62765">
            <w:pPr>
              <w:autoSpaceDE w:val="0"/>
              <w:autoSpaceDN w:val="0"/>
              <w:adjustRightInd w:val="0"/>
              <w:rPr>
                <w:rFonts w:ascii="Calibri" w:hAnsi="Calibri" w:cs="Calibri"/>
                <w:color w:val="000000"/>
              </w:rPr>
            </w:pPr>
            <w:r>
              <w:rPr>
                <w:rFonts w:ascii="Calibri" w:hAnsi="Calibri" w:cs="Calibri"/>
                <w:color w:val="000000"/>
              </w:rPr>
              <w:t>Inclusion lead 50%</w:t>
            </w:r>
          </w:p>
          <w:p w:rsidR="002038F7" w:rsidRDefault="002038F7" w:rsidP="00A62765">
            <w:pPr>
              <w:autoSpaceDE w:val="0"/>
              <w:autoSpaceDN w:val="0"/>
              <w:adjustRightInd w:val="0"/>
              <w:rPr>
                <w:rFonts w:ascii="Calibri" w:hAnsi="Calibri" w:cs="Calibri"/>
                <w:color w:val="000000"/>
              </w:rPr>
            </w:pPr>
            <w:r>
              <w:rPr>
                <w:rFonts w:ascii="Calibri" w:hAnsi="Calibri" w:cs="Calibri"/>
                <w:color w:val="000000"/>
              </w:rPr>
              <w:t>£26,476</w:t>
            </w:r>
          </w:p>
          <w:p w:rsidR="002038F7" w:rsidRDefault="002038F7" w:rsidP="00A62765">
            <w:pPr>
              <w:autoSpaceDE w:val="0"/>
              <w:autoSpaceDN w:val="0"/>
              <w:adjustRightInd w:val="0"/>
              <w:rPr>
                <w:rFonts w:ascii="Calibri" w:hAnsi="Calibri" w:cs="Calibri"/>
                <w:color w:val="000000"/>
              </w:rPr>
            </w:pPr>
          </w:p>
          <w:p w:rsidR="002038F7" w:rsidRDefault="002038F7" w:rsidP="00A62765">
            <w:pPr>
              <w:autoSpaceDE w:val="0"/>
              <w:autoSpaceDN w:val="0"/>
              <w:adjustRightInd w:val="0"/>
              <w:rPr>
                <w:rFonts w:ascii="Calibri" w:hAnsi="Calibri" w:cs="Calibri"/>
                <w:color w:val="000000"/>
              </w:rPr>
            </w:pPr>
          </w:p>
          <w:p w:rsidR="002038F7" w:rsidRDefault="00AF7A64" w:rsidP="00A62765">
            <w:pPr>
              <w:autoSpaceDE w:val="0"/>
              <w:autoSpaceDN w:val="0"/>
              <w:adjustRightInd w:val="0"/>
              <w:rPr>
                <w:rFonts w:ascii="Calibri" w:hAnsi="Calibri" w:cs="Calibri"/>
                <w:color w:val="000000"/>
              </w:rPr>
            </w:pPr>
            <w:r>
              <w:rPr>
                <w:rFonts w:ascii="Calibri" w:hAnsi="Calibri" w:cs="Calibri"/>
                <w:color w:val="000000"/>
              </w:rPr>
              <w:t>£3</w:t>
            </w:r>
            <w:r w:rsidR="002038F7">
              <w:rPr>
                <w:rFonts w:ascii="Calibri" w:hAnsi="Calibri" w:cs="Calibri"/>
                <w:color w:val="000000"/>
              </w:rPr>
              <w:t>0,000</w:t>
            </w:r>
          </w:p>
          <w:p w:rsidR="000A7F47" w:rsidRDefault="000A7F47" w:rsidP="00A62765">
            <w:pPr>
              <w:autoSpaceDE w:val="0"/>
              <w:autoSpaceDN w:val="0"/>
              <w:adjustRightInd w:val="0"/>
              <w:rPr>
                <w:rFonts w:ascii="Calibri" w:hAnsi="Calibri" w:cs="Calibri"/>
                <w:color w:val="000000"/>
              </w:rPr>
            </w:pPr>
          </w:p>
          <w:p w:rsidR="000A7F47" w:rsidRDefault="000A7F47" w:rsidP="00A62765">
            <w:pPr>
              <w:autoSpaceDE w:val="0"/>
              <w:autoSpaceDN w:val="0"/>
              <w:adjustRightInd w:val="0"/>
              <w:rPr>
                <w:rFonts w:ascii="Calibri" w:hAnsi="Calibri" w:cs="Calibri"/>
                <w:color w:val="000000"/>
              </w:rPr>
            </w:pPr>
          </w:p>
          <w:p w:rsidR="00AF7A64" w:rsidRDefault="00AF7A64" w:rsidP="00A62765">
            <w:pPr>
              <w:autoSpaceDE w:val="0"/>
              <w:autoSpaceDN w:val="0"/>
              <w:adjustRightInd w:val="0"/>
              <w:rPr>
                <w:rFonts w:ascii="Calibri" w:hAnsi="Calibri" w:cs="Calibri"/>
                <w:color w:val="000000"/>
              </w:rPr>
            </w:pPr>
          </w:p>
          <w:p w:rsidR="000A7F47" w:rsidRDefault="003429DE" w:rsidP="00A62765">
            <w:pPr>
              <w:autoSpaceDE w:val="0"/>
              <w:autoSpaceDN w:val="0"/>
              <w:adjustRightInd w:val="0"/>
              <w:rPr>
                <w:rFonts w:ascii="Calibri" w:hAnsi="Calibri" w:cs="Calibri"/>
                <w:color w:val="000000"/>
              </w:rPr>
            </w:pPr>
            <w:r>
              <w:rPr>
                <w:rFonts w:ascii="Calibri" w:hAnsi="Calibri" w:cs="Calibri"/>
                <w:color w:val="000000"/>
              </w:rPr>
              <w:t>£15,</w:t>
            </w:r>
            <w:r w:rsidR="000A7F47">
              <w:rPr>
                <w:rFonts w:ascii="Calibri" w:hAnsi="Calibri" w:cs="Calibri"/>
                <w:color w:val="000000"/>
              </w:rPr>
              <w:t>000</w:t>
            </w:r>
          </w:p>
          <w:p w:rsidR="003429DE" w:rsidRDefault="003429DE" w:rsidP="00A62765">
            <w:pPr>
              <w:autoSpaceDE w:val="0"/>
              <w:autoSpaceDN w:val="0"/>
              <w:adjustRightInd w:val="0"/>
              <w:rPr>
                <w:rFonts w:ascii="Calibri" w:hAnsi="Calibri" w:cs="Calibri"/>
                <w:color w:val="000000"/>
              </w:rPr>
            </w:pPr>
          </w:p>
          <w:p w:rsidR="00AF7A64" w:rsidRDefault="00AF7A64" w:rsidP="00A62765">
            <w:pPr>
              <w:autoSpaceDE w:val="0"/>
              <w:autoSpaceDN w:val="0"/>
              <w:adjustRightInd w:val="0"/>
              <w:rPr>
                <w:rFonts w:ascii="Calibri" w:hAnsi="Calibri" w:cs="Calibri"/>
                <w:color w:val="000000"/>
              </w:rPr>
            </w:pPr>
          </w:p>
          <w:p w:rsidR="00AF7A64" w:rsidRDefault="00AF7A64" w:rsidP="00A62765">
            <w:pPr>
              <w:autoSpaceDE w:val="0"/>
              <w:autoSpaceDN w:val="0"/>
              <w:adjustRightInd w:val="0"/>
              <w:rPr>
                <w:rFonts w:ascii="Calibri" w:hAnsi="Calibri" w:cs="Calibri"/>
                <w:color w:val="000000"/>
              </w:rPr>
            </w:pPr>
            <w:r>
              <w:rPr>
                <w:rFonts w:ascii="Calibri" w:hAnsi="Calibri" w:cs="Calibri"/>
                <w:color w:val="000000"/>
              </w:rPr>
              <w:t>£3000</w:t>
            </w:r>
          </w:p>
          <w:p w:rsidR="003429DE" w:rsidRDefault="003429DE" w:rsidP="00A62765">
            <w:pPr>
              <w:autoSpaceDE w:val="0"/>
              <w:autoSpaceDN w:val="0"/>
              <w:adjustRightInd w:val="0"/>
              <w:rPr>
                <w:rFonts w:ascii="Calibri" w:hAnsi="Calibri" w:cs="Calibri"/>
                <w:color w:val="000000"/>
              </w:rPr>
            </w:pPr>
          </w:p>
          <w:p w:rsidR="003429DE" w:rsidRDefault="003429DE" w:rsidP="00A62765">
            <w:pPr>
              <w:autoSpaceDE w:val="0"/>
              <w:autoSpaceDN w:val="0"/>
              <w:adjustRightInd w:val="0"/>
              <w:rPr>
                <w:rFonts w:ascii="Calibri" w:hAnsi="Calibri" w:cs="Calibri"/>
                <w:color w:val="000000"/>
              </w:rPr>
            </w:pPr>
          </w:p>
          <w:p w:rsidR="003429DE" w:rsidRPr="00AA123F" w:rsidRDefault="003429DE" w:rsidP="00A62765">
            <w:pPr>
              <w:autoSpaceDE w:val="0"/>
              <w:autoSpaceDN w:val="0"/>
              <w:adjustRightInd w:val="0"/>
              <w:rPr>
                <w:rFonts w:ascii="Calibri" w:hAnsi="Calibri" w:cs="Calibri"/>
                <w:color w:val="000000"/>
              </w:rPr>
            </w:pPr>
            <w:r>
              <w:rPr>
                <w:rFonts w:ascii="Calibri" w:hAnsi="Calibri" w:cs="Calibri"/>
                <w:color w:val="000000"/>
              </w:rPr>
              <w:t>£5000</w:t>
            </w:r>
          </w:p>
        </w:tc>
        <w:tc>
          <w:tcPr>
            <w:tcW w:w="3124" w:type="dxa"/>
          </w:tcPr>
          <w:p w:rsidR="00A62765" w:rsidRDefault="00DF35CB" w:rsidP="00A62765">
            <w:pPr>
              <w:autoSpaceDE w:val="0"/>
              <w:autoSpaceDN w:val="0"/>
              <w:adjustRightInd w:val="0"/>
              <w:rPr>
                <w:rFonts w:ascii="Calibri" w:hAnsi="Calibri" w:cs="Calibri"/>
                <w:sz w:val="24"/>
                <w:szCs w:val="24"/>
              </w:rPr>
            </w:pPr>
            <w:r>
              <w:rPr>
                <w:rFonts w:ascii="Calibri" w:hAnsi="Calibri" w:cs="Calibri"/>
                <w:sz w:val="24"/>
                <w:szCs w:val="24"/>
              </w:rPr>
              <w:t>Observations</w:t>
            </w:r>
          </w:p>
          <w:p w:rsidR="00DF35CB" w:rsidRDefault="00DF35CB" w:rsidP="00A62765">
            <w:pPr>
              <w:autoSpaceDE w:val="0"/>
              <w:autoSpaceDN w:val="0"/>
              <w:adjustRightInd w:val="0"/>
              <w:rPr>
                <w:rFonts w:ascii="Calibri" w:hAnsi="Calibri" w:cs="Calibri"/>
                <w:sz w:val="24"/>
                <w:szCs w:val="24"/>
              </w:rPr>
            </w:pPr>
            <w:r>
              <w:rPr>
                <w:rFonts w:ascii="Calibri" w:hAnsi="Calibri" w:cs="Calibri"/>
                <w:sz w:val="24"/>
                <w:szCs w:val="24"/>
              </w:rPr>
              <w:t>Book look</w:t>
            </w:r>
          </w:p>
          <w:p w:rsidR="00DF35CB" w:rsidRDefault="00DF35CB" w:rsidP="00A62765">
            <w:pPr>
              <w:autoSpaceDE w:val="0"/>
              <w:autoSpaceDN w:val="0"/>
              <w:adjustRightInd w:val="0"/>
              <w:rPr>
                <w:rFonts w:ascii="Calibri" w:hAnsi="Calibri" w:cs="Calibri"/>
                <w:sz w:val="24"/>
                <w:szCs w:val="24"/>
              </w:rPr>
            </w:pPr>
            <w:r>
              <w:rPr>
                <w:rFonts w:ascii="Calibri" w:hAnsi="Calibri" w:cs="Calibri"/>
                <w:sz w:val="24"/>
                <w:szCs w:val="24"/>
              </w:rPr>
              <w:t>Pupil voice</w:t>
            </w:r>
          </w:p>
          <w:p w:rsidR="00DF35CB" w:rsidRPr="00AA123F" w:rsidRDefault="00DF35CB" w:rsidP="00A62765">
            <w:pPr>
              <w:autoSpaceDE w:val="0"/>
              <w:autoSpaceDN w:val="0"/>
              <w:adjustRightInd w:val="0"/>
              <w:rPr>
                <w:rFonts w:ascii="Calibri" w:hAnsi="Calibri" w:cs="Calibri"/>
                <w:sz w:val="24"/>
                <w:szCs w:val="24"/>
              </w:rPr>
            </w:pPr>
            <w:r>
              <w:rPr>
                <w:rFonts w:ascii="Calibri" w:hAnsi="Calibri" w:cs="Calibri"/>
                <w:sz w:val="24"/>
                <w:szCs w:val="24"/>
              </w:rPr>
              <w:t>Data Analysis</w:t>
            </w:r>
          </w:p>
          <w:p w:rsidR="00A62765" w:rsidRDefault="00DF35CB" w:rsidP="00B64164">
            <w:pPr>
              <w:autoSpaceDE w:val="0"/>
              <w:autoSpaceDN w:val="0"/>
              <w:adjustRightInd w:val="0"/>
              <w:rPr>
                <w:rFonts w:ascii="Calibri" w:hAnsi="Calibri" w:cs="Calibri"/>
                <w:color w:val="000000"/>
              </w:rPr>
            </w:pPr>
            <w:r>
              <w:rPr>
                <w:rFonts w:ascii="Calibri" w:hAnsi="Calibri" w:cs="Calibri"/>
                <w:color w:val="000000"/>
              </w:rPr>
              <w:t>Progress Reviews</w:t>
            </w:r>
          </w:p>
          <w:p w:rsidR="00DF35CB" w:rsidRDefault="00DF35CB" w:rsidP="00B64164">
            <w:pPr>
              <w:autoSpaceDE w:val="0"/>
              <w:autoSpaceDN w:val="0"/>
              <w:adjustRightInd w:val="0"/>
              <w:rPr>
                <w:rFonts w:ascii="Calibri" w:hAnsi="Calibri" w:cs="Calibri"/>
                <w:color w:val="000000"/>
              </w:rPr>
            </w:pPr>
            <w:r>
              <w:rPr>
                <w:rFonts w:ascii="Calibri" w:hAnsi="Calibri" w:cs="Calibri"/>
                <w:color w:val="000000"/>
              </w:rPr>
              <w:t>CPD opportunities</w:t>
            </w:r>
          </w:p>
          <w:p w:rsidR="00DF35CB" w:rsidRDefault="00DF35CB" w:rsidP="00B64164">
            <w:pPr>
              <w:autoSpaceDE w:val="0"/>
              <w:autoSpaceDN w:val="0"/>
              <w:adjustRightInd w:val="0"/>
              <w:rPr>
                <w:rFonts w:ascii="Calibri" w:hAnsi="Calibri" w:cs="Calibri"/>
                <w:color w:val="000000"/>
              </w:rPr>
            </w:pPr>
            <w:r>
              <w:rPr>
                <w:rFonts w:ascii="Calibri" w:hAnsi="Calibri" w:cs="Calibri"/>
                <w:color w:val="000000"/>
              </w:rPr>
              <w:t>PPA together in Year groups to support each other and ensure consistency</w:t>
            </w:r>
          </w:p>
          <w:p w:rsidR="00DF35CB" w:rsidRDefault="00DF35CB" w:rsidP="00B64164">
            <w:pPr>
              <w:autoSpaceDE w:val="0"/>
              <w:autoSpaceDN w:val="0"/>
              <w:adjustRightInd w:val="0"/>
              <w:rPr>
                <w:rFonts w:ascii="Calibri" w:hAnsi="Calibri" w:cs="Calibri"/>
                <w:color w:val="000000"/>
              </w:rPr>
            </w:pPr>
          </w:p>
          <w:p w:rsidR="00DF35CB" w:rsidRDefault="00DF35CB" w:rsidP="00B64164">
            <w:pPr>
              <w:autoSpaceDE w:val="0"/>
              <w:autoSpaceDN w:val="0"/>
              <w:adjustRightInd w:val="0"/>
              <w:rPr>
                <w:rFonts w:ascii="Calibri" w:hAnsi="Calibri" w:cs="Calibri"/>
                <w:color w:val="000000"/>
              </w:rPr>
            </w:pPr>
            <w:r>
              <w:rPr>
                <w:rFonts w:ascii="Calibri" w:hAnsi="Calibri" w:cs="Calibri"/>
                <w:color w:val="000000"/>
              </w:rPr>
              <w:t>IMPACT-Term 1</w:t>
            </w:r>
          </w:p>
          <w:p w:rsidR="00DF35CB" w:rsidRDefault="00DF35CB" w:rsidP="00B64164">
            <w:pPr>
              <w:autoSpaceDE w:val="0"/>
              <w:autoSpaceDN w:val="0"/>
              <w:adjustRightInd w:val="0"/>
              <w:rPr>
                <w:rFonts w:ascii="Calibri" w:hAnsi="Calibri" w:cs="Calibri"/>
                <w:color w:val="000000"/>
              </w:rPr>
            </w:pPr>
          </w:p>
          <w:p w:rsidR="00DF35CB" w:rsidRDefault="00DF35CB" w:rsidP="00B64164">
            <w:pPr>
              <w:autoSpaceDE w:val="0"/>
              <w:autoSpaceDN w:val="0"/>
              <w:adjustRightInd w:val="0"/>
              <w:rPr>
                <w:rFonts w:ascii="Calibri" w:hAnsi="Calibri" w:cs="Calibri"/>
                <w:color w:val="000000"/>
              </w:rPr>
            </w:pPr>
          </w:p>
          <w:p w:rsidR="00DF35CB" w:rsidRDefault="00DF35CB" w:rsidP="00B64164">
            <w:pPr>
              <w:autoSpaceDE w:val="0"/>
              <w:autoSpaceDN w:val="0"/>
              <w:adjustRightInd w:val="0"/>
              <w:rPr>
                <w:rFonts w:ascii="Calibri" w:hAnsi="Calibri" w:cs="Calibri"/>
                <w:color w:val="000000"/>
              </w:rPr>
            </w:pPr>
            <w:r>
              <w:rPr>
                <w:rFonts w:ascii="Calibri" w:hAnsi="Calibri" w:cs="Calibri"/>
                <w:color w:val="000000"/>
              </w:rPr>
              <w:t>IMPACT- Term 2</w:t>
            </w:r>
          </w:p>
          <w:p w:rsidR="00DF35CB" w:rsidRDefault="00DF35CB" w:rsidP="00B64164">
            <w:pPr>
              <w:autoSpaceDE w:val="0"/>
              <w:autoSpaceDN w:val="0"/>
              <w:adjustRightInd w:val="0"/>
              <w:rPr>
                <w:rFonts w:ascii="Calibri" w:hAnsi="Calibri" w:cs="Calibri"/>
                <w:color w:val="000000"/>
              </w:rPr>
            </w:pPr>
          </w:p>
          <w:p w:rsidR="00DF35CB" w:rsidRDefault="00DF35CB" w:rsidP="00B64164">
            <w:pPr>
              <w:autoSpaceDE w:val="0"/>
              <w:autoSpaceDN w:val="0"/>
              <w:adjustRightInd w:val="0"/>
              <w:rPr>
                <w:rFonts w:ascii="Calibri" w:hAnsi="Calibri" w:cs="Calibri"/>
                <w:color w:val="000000"/>
              </w:rPr>
            </w:pPr>
          </w:p>
          <w:p w:rsidR="00DF35CB" w:rsidRDefault="00DF35CB" w:rsidP="00B64164">
            <w:pPr>
              <w:autoSpaceDE w:val="0"/>
              <w:autoSpaceDN w:val="0"/>
              <w:adjustRightInd w:val="0"/>
              <w:rPr>
                <w:rFonts w:ascii="Calibri" w:hAnsi="Calibri" w:cs="Calibri"/>
                <w:color w:val="000000"/>
              </w:rPr>
            </w:pPr>
          </w:p>
          <w:p w:rsidR="00DF35CB" w:rsidRDefault="00DF35CB" w:rsidP="00B64164">
            <w:pPr>
              <w:autoSpaceDE w:val="0"/>
              <w:autoSpaceDN w:val="0"/>
              <w:adjustRightInd w:val="0"/>
              <w:rPr>
                <w:rFonts w:ascii="Calibri" w:hAnsi="Calibri" w:cs="Calibri"/>
                <w:color w:val="000000"/>
              </w:rPr>
            </w:pPr>
            <w:r>
              <w:rPr>
                <w:rFonts w:ascii="Calibri" w:hAnsi="Calibri" w:cs="Calibri"/>
                <w:color w:val="000000"/>
              </w:rPr>
              <w:t>IMPACT –Term 3</w:t>
            </w:r>
          </w:p>
          <w:p w:rsidR="00DF35CB" w:rsidRDefault="00DF35CB" w:rsidP="00B64164">
            <w:pPr>
              <w:autoSpaceDE w:val="0"/>
              <w:autoSpaceDN w:val="0"/>
              <w:adjustRightInd w:val="0"/>
              <w:rPr>
                <w:rFonts w:ascii="Calibri" w:hAnsi="Calibri" w:cs="Calibri"/>
                <w:color w:val="000000"/>
              </w:rPr>
            </w:pPr>
          </w:p>
          <w:p w:rsidR="00DF35CB" w:rsidRDefault="00DF35CB" w:rsidP="00B64164">
            <w:pPr>
              <w:autoSpaceDE w:val="0"/>
              <w:autoSpaceDN w:val="0"/>
              <w:adjustRightInd w:val="0"/>
              <w:rPr>
                <w:rFonts w:ascii="Calibri" w:hAnsi="Calibri" w:cs="Calibri"/>
                <w:color w:val="000000"/>
              </w:rPr>
            </w:pPr>
          </w:p>
          <w:p w:rsidR="00DF35CB" w:rsidRPr="00AA123F" w:rsidRDefault="00DF35CB" w:rsidP="00B64164">
            <w:pPr>
              <w:autoSpaceDE w:val="0"/>
              <w:autoSpaceDN w:val="0"/>
              <w:adjustRightInd w:val="0"/>
              <w:rPr>
                <w:rFonts w:ascii="Calibri" w:hAnsi="Calibri" w:cs="Calibri"/>
                <w:color w:val="000000"/>
              </w:rPr>
            </w:pPr>
          </w:p>
        </w:tc>
      </w:tr>
      <w:tr w:rsidR="00AF7A64" w:rsidTr="00DF0DE8">
        <w:tc>
          <w:tcPr>
            <w:tcW w:w="2830" w:type="dxa"/>
          </w:tcPr>
          <w:p w:rsidR="00A62765" w:rsidRPr="00DF35CB" w:rsidRDefault="002038F7" w:rsidP="002038F7">
            <w:pPr>
              <w:rPr>
                <w:b/>
              </w:rPr>
            </w:pPr>
            <w:r w:rsidRPr="00DF35CB">
              <w:rPr>
                <w:b/>
              </w:rPr>
              <w:lastRenderedPageBreak/>
              <w:t>To raise progress and attainment for the Y3 PP children who underperformed in Y2</w:t>
            </w:r>
          </w:p>
        </w:tc>
        <w:tc>
          <w:tcPr>
            <w:tcW w:w="2268" w:type="dxa"/>
          </w:tcPr>
          <w:p w:rsidR="00A62765" w:rsidRDefault="002038F7" w:rsidP="00A62765">
            <w:r>
              <w:t>7 PP children did not reach the expected standard</w:t>
            </w:r>
            <w:r w:rsidR="00E97C97">
              <w:t xml:space="preserve"> in reading</w:t>
            </w:r>
            <w:r>
              <w:t>, therefore progress for these children was slow</w:t>
            </w:r>
            <w:r w:rsidR="000A7F47">
              <w:t>.</w:t>
            </w:r>
          </w:p>
          <w:p w:rsidR="000A7F47" w:rsidRDefault="000A7F47" w:rsidP="00A62765"/>
        </w:tc>
        <w:tc>
          <w:tcPr>
            <w:tcW w:w="5812" w:type="dxa"/>
          </w:tcPr>
          <w:p w:rsidR="00A62765" w:rsidRDefault="00DF35CB" w:rsidP="00A62765">
            <w:r>
              <w:t>Additional LSA support to target these children and any other PP children falling behind</w:t>
            </w:r>
          </w:p>
          <w:p w:rsidR="000A7F47" w:rsidRDefault="000A7F47" w:rsidP="00A62765"/>
          <w:p w:rsidR="00DF35CB" w:rsidRDefault="00DF35CB" w:rsidP="00A62765">
            <w:r>
              <w:t>BRP intervention to improve reading</w:t>
            </w:r>
          </w:p>
        </w:tc>
        <w:tc>
          <w:tcPr>
            <w:tcW w:w="1418" w:type="dxa"/>
          </w:tcPr>
          <w:p w:rsidR="00A62765" w:rsidRDefault="00DF35CB" w:rsidP="00A62765">
            <w:r>
              <w:t>£13,000</w:t>
            </w:r>
          </w:p>
          <w:p w:rsidR="00DF35CB" w:rsidRDefault="00DF35CB" w:rsidP="00A62765"/>
          <w:p w:rsidR="00DF35CB" w:rsidRDefault="00DF35CB" w:rsidP="00A62765"/>
          <w:p w:rsidR="00DF35CB" w:rsidRDefault="00DF35CB" w:rsidP="00A62765"/>
          <w:p w:rsidR="00DF35CB" w:rsidRDefault="00DF35CB" w:rsidP="00A62765">
            <w:r>
              <w:t>£6 500</w:t>
            </w:r>
          </w:p>
        </w:tc>
        <w:tc>
          <w:tcPr>
            <w:tcW w:w="3124" w:type="dxa"/>
          </w:tcPr>
          <w:p w:rsidR="00DF35CB" w:rsidRDefault="00DF35CB" w:rsidP="00DF35CB">
            <w:pPr>
              <w:autoSpaceDE w:val="0"/>
              <w:autoSpaceDN w:val="0"/>
              <w:adjustRightInd w:val="0"/>
              <w:rPr>
                <w:rFonts w:ascii="Calibri" w:hAnsi="Calibri" w:cs="Calibri"/>
                <w:color w:val="000000"/>
              </w:rPr>
            </w:pPr>
            <w:r>
              <w:rPr>
                <w:rFonts w:ascii="Calibri" w:hAnsi="Calibri" w:cs="Calibri"/>
                <w:color w:val="000000"/>
              </w:rPr>
              <w:t>IMPACT-Term 1</w:t>
            </w:r>
          </w:p>
          <w:p w:rsidR="00DF35CB" w:rsidRDefault="00DF35CB" w:rsidP="00DF35CB">
            <w:pPr>
              <w:autoSpaceDE w:val="0"/>
              <w:autoSpaceDN w:val="0"/>
              <w:adjustRightInd w:val="0"/>
              <w:rPr>
                <w:rFonts w:ascii="Calibri" w:hAnsi="Calibri" w:cs="Calibri"/>
                <w:color w:val="000000"/>
              </w:rPr>
            </w:pPr>
          </w:p>
          <w:p w:rsidR="00DF35CB" w:rsidRDefault="00DF35CB" w:rsidP="00DF35CB">
            <w:pPr>
              <w:autoSpaceDE w:val="0"/>
              <w:autoSpaceDN w:val="0"/>
              <w:adjustRightInd w:val="0"/>
              <w:rPr>
                <w:rFonts w:ascii="Calibri" w:hAnsi="Calibri" w:cs="Calibri"/>
                <w:color w:val="000000"/>
              </w:rPr>
            </w:pPr>
          </w:p>
          <w:p w:rsidR="00DF35CB" w:rsidRDefault="00DF35CB" w:rsidP="00DF35CB">
            <w:pPr>
              <w:autoSpaceDE w:val="0"/>
              <w:autoSpaceDN w:val="0"/>
              <w:adjustRightInd w:val="0"/>
              <w:rPr>
                <w:rFonts w:ascii="Calibri" w:hAnsi="Calibri" w:cs="Calibri"/>
                <w:color w:val="000000"/>
              </w:rPr>
            </w:pPr>
            <w:r>
              <w:rPr>
                <w:rFonts w:ascii="Calibri" w:hAnsi="Calibri" w:cs="Calibri"/>
                <w:color w:val="000000"/>
              </w:rPr>
              <w:t>IMPACT- Term 2</w:t>
            </w:r>
          </w:p>
          <w:p w:rsidR="00DF35CB" w:rsidRDefault="00DF35CB" w:rsidP="00DF35CB">
            <w:pPr>
              <w:autoSpaceDE w:val="0"/>
              <w:autoSpaceDN w:val="0"/>
              <w:adjustRightInd w:val="0"/>
              <w:rPr>
                <w:rFonts w:ascii="Calibri" w:hAnsi="Calibri" w:cs="Calibri"/>
                <w:color w:val="000000"/>
              </w:rPr>
            </w:pPr>
          </w:p>
          <w:p w:rsidR="00DF35CB" w:rsidRDefault="00DF35CB" w:rsidP="00DF35CB">
            <w:pPr>
              <w:autoSpaceDE w:val="0"/>
              <w:autoSpaceDN w:val="0"/>
              <w:adjustRightInd w:val="0"/>
              <w:rPr>
                <w:rFonts w:ascii="Calibri" w:hAnsi="Calibri" w:cs="Calibri"/>
                <w:color w:val="000000"/>
              </w:rPr>
            </w:pPr>
          </w:p>
          <w:p w:rsidR="00DF35CB" w:rsidRDefault="00DF35CB" w:rsidP="00DF35CB">
            <w:pPr>
              <w:autoSpaceDE w:val="0"/>
              <w:autoSpaceDN w:val="0"/>
              <w:adjustRightInd w:val="0"/>
              <w:rPr>
                <w:rFonts w:ascii="Calibri" w:hAnsi="Calibri" w:cs="Calibri"/>
                <w:color w:val="000000"/>
              </w:rPr>
            </w:pPr>
            <w:r>
              <w:rPr>
                <w:rFonts w:ascii="Calibri" w:hAnsi="Calibri" w:cs="Calibri"/>
                <w:color w:val="000000"/>
              </w:rPr>
              <w:t>IMPACT –Term 3</w:t>
            </w:r>
          </w:p>
          <w:p w:rsidR="00A62765" w:rsidRDefault="00A62765" w:rsidP="00A62765"/>
        </w:tc>
      </w:tr>
      <w:tr w:rsidR="00AF7A64" w:rsidTr="00DF0DE8">
        <w:trPr>
          <w:trHeight w:val="3077"/>
        </w:trPr>
        <w:tc>
          <w:tcPr>
            <w:tcW w:w="2830" w:type="dxa"/>
          </w:tcPr>
          <w:p w:rsidR="00A62765" w:rsidRPr="0013357C" w:rsidRDefault="000A7F47" w:rsidP="00A62765">
            <w:pPr>
              <w:rPr>
                <w:b/>
              </w:rPr>
            </w:pPr>
            <w:r w:rsidRPr="0013357C">
              <w:rPr>
                <w:b/>
              </w:rPr>
              <w:t>To develo</w:t>
            </w:r>
            <w:r w:rsidR="0013357C">
              <w:rPr>
                <w:b/>
              </w:rPr>
              <w:t xml:space="preserve">p reading, </w:t>
            </w:r>
            <w:r w:rsidRPr="0013357C">
              <w:rPr>
                <w:b/>
              </w:rPr>
              <w:t>ensure all PP children foster a love of reading</w:t>
            </w:r>
          </w:p>
        </w:tc>
        <w:tc>
          <w:tcPr>
            <w:tcW w:w="2268" w:type="dxa"/>
          </w:tcPr>
          <w:p w:rsidR="00A62765" w:rsidRDefault="000A7F47" w:rsidP="00A62765">
            <w:r>
              <w:t xml:space="preserve">Data for reading across the school is </w:t>
            </w:r>
          </w:p>
          <w:p w:rsidR="000A7F47" w:rsidRDefault="00AF7A64" w:rsidP="00A62765">
            <w:r>
              <w:t>s</w:t>
            </w:r>
            <w:r w:rsidR="000A7F47">
              <w:t>ig</w:t>
            </w:r>
            <w:r>
              <w:t xml:space="preserve">nificantly </w:t>
            </w:r>
            <w:r w:rsidR="000A7F47">
              <w:t>below NA for PP children</w:t>
            </w:r>
          </w:p>
          <w:p w:rsidR="000A7F47" w:rsidRDefault="000A7F47" w:rsidP="00A62765">
            <w:r>
              <w:t>Reading is not currently high profile in schoo</w:t>
            </w:r>
            <w:r w:rsidR="0013357C">
              <w:t xml:space="preserve">l, </w:t>
            </w:r>
            <w:proofErr w:type="spellStart"/>
            <w:r w:rsidR="0013357C">
              <w:t>eg</w:t>
            </w:r>
            <w:proofErr w:type="spellEnd"/>
            <w:r w:rsidR="0013357C">
              <w:t xml:space="preserve"> an unused library, reading displays limited.</w:t>
            </w:r>
            <w:r>
              <w:t xml:space="preserve"> </w:t>
            </w:r>
          </w:p>
        </w:tc>
        <w:tc>
          <w:tcPr>
            <w:tcW w:w="5812" w:type="dxa"/>
          </w:tcPr>
          <w:p w:rsidR="00A62765" w:rsidRDefault="0013357C" w:rsidP="00A62765">
            <w:r>
              <w:t>Move library to become open libraries and have a KS1 and KS2 library-using older children to take responsibility of them</w:t>
            </w:r>
          </w:p>
          <w:p w:rsidR="0013357C" w:rsidRDefault="0013357C" w:rsidP="00A62765">
            <w:r>
              <w:t>Ensure high quality books (buy additional)</w:t>
            </w:r>
          </w:p>
          <w:p w:rsidR="0013357C" w:rsidRDefault="0013357C" w:rsidP="00A62765">
            <w:r>
              <w:t>Develop a parent loan library</w:t>
            </w:r>
          </w:p>
          <w:p w:rsidR="0013357C" w:rsidRDefault="0013357C" w:rsidP="00A62765">
            <w:r>
              <w:t>Guided reading to target PP under achievers</w:t>
            </w:r>
          </w:p>
          <w:p w:rsidR="0013357C" w:rsidRDefault="0013357C" w:rsidP="00A62765">
            <w:r>
              <w:t>Resources for displays promoting reading</w:t>
            </w:r>
          </w:p>
          <w:p w:rsidR="0013357C" w:rsidRDefault="0013357C" w:rsidP="00A62765">
            <w:r>
              <w:t>Develop phonics teaching and learning across school and into KS2 (additional funding to supplement the hub money)</w:t>
            </w:r>
          </w:p>
          <w:p w:rsidR="0013357C" w:rsidRDefault="0013357C" w:rsidP="00A62765">
            <w:r>
              <w:t>Parent workshops</w:t>
            </w:r>
            <w:r w:rsidR="00AF7A64">
              <w:t xml:space="preserve"> throughout the year</w:t>
            </w:r>
          </w:p>
        </w:tc>
        <w:tc>
          <w:tcPr>
            <w:tcW w:w="1418" w:type="dxa"/>
          </w:tcPr>
          <w:p w:rsidR="00A62765" w:rsidRDefault="0013357C" w:rsidP="00A62765">
            <w:r>
              <w:t>£</w:t>
            </w:r>
            <w:r w:rsidR="003429DE">
              <w:t>10,</w:t>
            </w:r>
            <w:r>
              <w:t>000</w:t>
            </w:r>
          </w:p>
          <w:p w:rsidR="0013357C" w:rsidRDefault="0013357C" w:rsidP="00A62765"/>
          <w:p w:rsidR="0013357C" w:rsidRDefault="0013357C" w:rsidP="00A62765"/>
          <w:p w:rsidR="0013357C" w:rsidRDefault="0013357C" w:rsidP="00A62765"/>
          <w:p w:rsidR="0013357C" w:rsidRDefault="0013357C" w:rsidP="00A62765"/>
          <w:p w:rsidR="0013357C" w:rsidRDefault="0013357C" w:rsidP="00A62765"/>
          <w:p w:rsidR="0013357C" w:rsidRDefault="0013357C" w:rsidP="00A62765"/>
          <w:p w:rsidR="0013357C" w:rsidRDefault="0013357C" w:rsidP="00A62765">
            <w:r>
              <w:t>£1000</w:t>
            </w:r>
          </w:p>
          <w:p w:rsidR="0013357C" w:rsidRDefault="0013357C" w:rsidP="00A62765"/>
          <w:p w:rsidR="00AF7A64" w:rsidRDefault="00AF7A64" w:rsidP="00A62765"/>
          <w:p w:rsidR="0013357C" w:rsidRDefault="00AF7A64" w:rsidP="00A62765">
            <w:r>
              <w:t>£1000</w:t>
            </w:r>
          </w:p>
        </w:tc>
        <w:tc>
          <w:tcPr>
            <w:tcW w:w="3124" w:type="dxa"/>
          </w:tcPr>
          <w:p w:rsidR="0013357C" w:rsidRDefault="0013357C" w:rsidP="00A62765">
            <w:r>
              <w:t>Pupil voice</w:t>
            </w:r>
          </w:p>
          <w:p w:rsidR="0013357C" w:rsidRDefault="0013357C" w:rsidP="00A62765">
            <w:r>
              <w:t>Individual reading to English lead and SLT</w:t>
            </w:r>
          </w:p>
          <w:p w:rsidR="0013357C" w:rsidRDefault="0013357C" w:rsidP="00A62765"/>
        </w:tc>
      </w:tr>
      <w:tr w:rsidR="00AF7A64" w:rsidTr="00DF0DE8">
        <w:tc>
          <w:tcPr>
            <w:tcW w:w="2830" w:type="dxa"/>
          </w:tcPr>
          <w:p w:rsidR="00A62765" w:rsidRPr="00205F5A" w:rsidRDefault="0013357C" w:rsidP="00A62765">
            <w:pPr>
              <w:rPr>
                <w:b/>
              </w:rPr>
            </w:pPr>
            <w:r w:rsidRPr="00205F5A">
              <w:rPr>
                <w:b/>
              </w:rPr>
              <w:t xml:space="preserve">To improve </w:t>
            </w:r>
            <w:r w:rsidR="00205F5A" w:rsidRPr="00205F5A">
              <w:rPr>
                <w:b/>
              </w:rPr>
              <w:t>attendance for PP children</w:t>
            </w:r>
          </w:p>
        </w:tc>
        <w:tc>
          <w:tcPr>
            <w:tcW w:w="2268" w:type="dxa"/>
          </w:tcPr>
          <w:p w:rsidR="00A62765" w:rsidRDefault="00205F5A" w:rsidP="00A62765">
            <w:r>
              <w:t>Attendance for PP children is lower than their Non-PP peers.</w:t>
            </w:r>
          </w:p>
        </w:tc>
        <w:tc>
          <w:tcPr>
            <w:tcW w:w="5812" w:type="dxa"/>
          </w:tcPr>
          <w:p w:rsidR="00A62765" w:rsidRDefault="00205F5A" w:rsidP="00A62765">
            <w:r>
              <w:t>Dedicated attendance team who target families’ daily</w:t>
            </w:r>
          </w:p>
          <w:p w:rsidR="00205F5A" w:rsidRDefault="00205F5A" w:rsidP="00A62765"/>
          <w:p w:rsidR="00AF7A64" w:rsidRDefault="00205F5A" w:rsidP="00205F5A">
            <w:r>
              <w:t>Boost the breakfast club through additional resources and staff to improve attendance of the breakfast club</w:t>
            </w:r>
          </w:p>
        </w:tc>
        <w:tc>
          <w:tcPr>
            <w:tcW w:w="1418" w:type="dxa"/>
          </w:tcPr>
          <w:p w:rsidR="00A62765" w:rsidRDefault="00205F5A" w:rsidP="00A62765">
            <w:r>
              <w:t>£12,000</w:t>
            </w:r>
          </w:p>
          <w:p w:rsidR="00205F5A" w:rsidRDefault="00205F5A" w:rsidP="00A62765"/>
          <w:p w:rsidR="00205F5A" w:rsidRDefault="00205F5A" w:rsidP="00A62765"/>
          <w:p w:rsidR="00205F5A" w:rsidRDefault="00205F5A" w:rsidP="00A62765">
            <w:r>
              <w:t>£2,000</w:t>
            </w:r>
          </w:p>
        </w:tc>
        <w:tc>
          <w:tcPr>
            <w:tcW w:w="3124" w:type="dxa"/>
          </w:tcPr>
          <w:p w:rsidR="00A62765" w:rsidRDefault="00205F5A" w:rsidP="00A62765">
            <w:r>
              <w:t>Increase in statistics</w:t>
            </w:r>
          </w:p>
          <w:p w:rsidR="00205F5A" w:rsidRDefault="00205F5A" w:rsidP="00A62765">
            <w:r>
              <w:t>Pupil voice</w:t>
            </w:r>
          </w:p>
        </w:tc>
      </w:tr>
      <w:tr w:rsidR="00AF7A64" w:rsidTr="00DF0DE8">
        <w:tc>
          <w:tcPr>
            <w:tcW w:w="2830" w:type="dxa"/>
          </w:tcPr>
          <w:p w:rsidR="00A62765" w:rsidRPr="00205F5A" w:rsidRDefault="00205F5A" w:rsidP="00A62765">
            <w:pPr>
              <w:rPr>
                <w:b/>
              </w:rPr>
            </w:pPr>
            <w:r w:rsidRPr="00205F5A">
              <w:rPr>
                <w:b/>
              </w:rPr>
              <w:t>To develop a well-being provision for PP children</w:t>
            </w:r>
          </w:p>
        </w:tc>
        <w:tc>
          <w:tcPr>
            <w:tcW w:w="2268" w:type="dxa"/>
          </w:tcPr>
          <w:p w:rsidR="00A62765" w:rsidRDefault="00205F5A" w:rsidP="00205F5A">
            <w:r>
              <w:t>Many PP children are from deprived areas, are CIN and CP</w:t>
            </w:r>
          </w:p>
        </w:tc>
        <w:tc>
          <w:tcPr>
            <w:tcW w:w="5812" w:type="dxa"/>
          </w:tcPr>
          <w:p w:rsidR="00A62765" w:rsidRDefault="00205F5A" w:rsidP="00A62765">
            <w:r>
              <w:t>Have access to a well-being room on a regular basis to discuss feelings and have a comfortable place to relax and feel safe</w:t>
            </w:r>
          </w:p>
          <w:p w:rsidR="00AF7A64" w:rsidRDefault="00AF7A64" w:rsidP="00A62765">
            <w:r>
              <w:t>Weekly counselling sessions for pupils identified as having social or emotional needs</w:t>
            </w:r>
          </w:p>
          <w:p w:rsidR="00AF7A64" w:rsidRDefault="00AF7A64" w:rsidP="00A62765"/>
        </w:tc>
        <w:tc>
          <w:tcPr>
            <w:tcW w:w="1418" w:type="dxa"/>
          </w:tcPr>
          <w:p w:rsidR="00A62765" w:rsidRDefault="00205F5A" w:rsidP="00A62765">
            <w:r>
              <w:t>£5000</w:t>
            </w:r>
          </w:p>
          <w:p w:rsidR="00AF7A64" w:rsidRDefault="00AF7A64" w:rsidP="00A62765"/>
          <w:p w:rsidR="00AF7A64" w:rsidRDefault="00AF7A64" w:rsidP="00A62765"/>
          <w:p w:rsidR="00AF7A64" w:rsidRDefault="00AF7A64" w:rsidP="00A62765">
            <w:r>
              <w:t>£4000</w:t>
            </w:r>
          </w:p>
        </w:tc>
        <w:tc>
          <w:tcPr>
            <w:tcW w:w="3124" w:type="dxa"/>
          </w:tcPr>
          <w:p w:rsidR="00A62765" w:rsidRDefault="00AF7A64" w:rsidP="00A62765">
            <w:r>
              <w:t>Pupil voice</w:t>
            </w:r>
          </w:p>
          <w:p w:rsidR="00AF7A64" w:rsidRDefault="00AF7A64" w:rsidP="00A62765">
            <w:r>
              <w:t>Positive Impact on attainment and progress outcomes</w:t>
            </w:r>
          </w:p>
          <w:p w:rsidR="00AF7A64" w:rsidRDefault="00AF7A64" w:rsidP="00A62765">
            <w:r>
              <w:t>Improved behaviour</w:t>
            </w:r>
          </w:p>
        </w:tc>
      </w:tr>
      <w:tr w:rsidR="00205F5A" w:rsidTr="00DF0DE8">
        <w:tc>
          <w:tcPr>
            <w:tcW w:w="2830" w:type="dxa"/>
          </w:tcPr>
          <w:p w:rsidR="00205F5A" w:rsidRPr="00FE59BF" w:rsidRDefault="00205F5A" w:rsidP="00A62765">
            <w:pPr>
              <w:rPr>
                <w:b/>
              </w:rPr>
            </w:pPr>
            <w:r w:rsidRPr="00FE59BF">
              <w:rPr>
                <w:b/>
              </w:rPr>
              <w:lastRenderedPageBreak/>
              <w:t xml:space="preserve">To further engage parents </w:t>
            </w:r>
          </w:p>
        </w:tc>
        <w:tc>
          <w:tcPr>
            <w:tcW w:w="2268" w:type="dxa"/>
          </w:tcPr>
          <w:p w:rsidR="00205F5A" w:rsidRDefault="00FE59BF" w:rsidP="00FE59BF">
            <w:r>
              <w:t>Many p</w:t>
            </w:r>
            <w:r w:rsidR="00205F5A">
              <w:t xml:space="preserve">arents </w:t>
            </w:r>
            <w:r>
              <w:t>of PP children tend not to engage in school life</w:t>
            </w:r>
          </w:p>
        </w:tc>
        <w:tc>
          <w:tcPr>
            <w:tcW w:w="5812" w:type="dxa"/>
          </w:tcPr>
          <w:p w:rsidR="00205F5A" w:rsidRDefault="00FE59BF" w:rsidP="00A62765">
            <w:r>
              <w:t>End of term exhibitions linked to projects</w:t>
            </w:r>
          </w:p>
          <w:p w:rsidR="00FE59BF" w:rsidRDefault="00FE59BF" w:rsidP="00A62765">
            <w:r>
              <w:t>Parent workshops in phonics, reading and maths</w:t>
            </w:r>
          </w:p>
          <w:p w:rsidR="00FE59BF" w:rsidRDefault="00FE59BF" w:rsidP="00A62765">
            <w:r>
              <w:t>Family creative afternoons</w:t>
            </w:r>
          </w:p>
          <w:p w:rsidR="00FE59BF" w:rsidRDefault="00FE59BF" w:rsidP="00A62765">
            <w:r>
              <w:t>HT have an open door policy and encourage parents into school</w:t>
            </w:r>
          </w:p>
          <w:p w:rsidR="00FE59BF" w:rsidRDefault="00FE59BF" w:rsidP="00A62765">
            <w:r>
              <w:t>Family support worker employed to support families.</w:t>
            </w:r>
          </w:p>
        </w:tc>
        <w:tc>
          <w:tcPr>
            <w:tcW w:w="1418" w:type="dxa"/>
          </w:tcPr>
          <w:p w:rsidR="00205F5A" w:rsidRDefault="00FE59BF" w:rsidP="00A62765">
            <w:r>
              <w:t>£8,000</w:t>
            </w:r>
          </w:p>
        </w:tc>
        <w:tc>
          <w:tcPr>
            <w:tcW w:w="3124" w:type="dxa"/>
          </w:tcPr>
          <w:p w:rsidR="00205F5A" w:rsidRDefault="00FE59BF" w:rsidP="00A62765">
            <w:r>
              <w:t>Parent voice</w:t>
            </w:r>
          </w:p>
          <w:p w:rsidR="00FE59BF" w:rsidRDefault="00FE59BF" w:rsidP="00A62765">
            <w:r>
              <w:t>Improvement in standards</w:t>
            </w:r>
          </w:p>
        </w:tc>
      </w:tr>
      <w:tr w:rsidR="003429DE" w:rsidRPr="003429DE" w:rsidTr="00B149C4">
        <w:tc>
          <w:tcPr>
            <w:tcW w:w="10910" w:type="dxa"/>
            <w:gridSpan w:val="3"/>
          </w:tcPr>
          <w:p w:rsidR="003429DE" w:rsidRPr="003429DE" w:rsidRDefault="003429DE" w:rsidP="00A62765">
            <w:pPr>
              <w:rPr>
                <w:b/>
                <w:sz w:val="28"/>
                <w:szCs w:val="28"/>
              </w:rPr>
            </w:pPr>
            <w:r w:rsidRPr="003429DE">
              <w:rPr>
                <w:b/>
                <w:sz w:val="28"/>
                <w:szCs w:val="28"/>
              </w:rPr>
              <w:t xml:space="preserve">                                                       </w:t>
            </w:r>
            <w:r w:rsidRPr="003429DE">
              <w:rPr>
                <w:b/>
                <w:color w:val="FF0000"/>
                <w:sz w:val="28"/>
                <w:szCs w:val="28"/>
              </w:rPr>
              <w:t>Total Projected Spend 2019/20</w:t>
            </w:r>
          </w:p>
        </w:tc>
        <w:tc>
          <w:tcPr>
            <w:tcW w:w="4542" w:type="dxa"/>
            <w:gridSpan w:val="2"/>
          </w:tcPr>
          <w:p w:rsidR="003429DE" w:rsidRPr="003429DE" w:rsidRDefault="003429DE" w:rsidP="00A62765">
            <w:pPr>
              <w:rPr>
                <w:b/>
              </w:rPr>
            </w:pPr>
            <w:r w:rsidRPr="003429DE">
              <w:rPr>
                <w:b/>
                <w:color w:val="FF0000"/>
                <w:sz w:val="28"/>
                <w:szCs w:val="28"/>
              </w:rPr>
              <w:t xml:space="preserve">             £200,984</w:t>
            </w:r>
          </w:p>
        </w:tc>
      </w:tr>
    </w:tbl>
    <w:p w:rsidR="00AA123F" w:rsidRPr="003429DE" w:rsidRDefault="00AA123F" w:rsidP="00AA123F">
      <w:pPr>
        <w:rPr>
          <w:rFonts w:ascii="Arial" w:hAnsi="Arial" w:cs="Arial"/>
          <w:b/>
          <w:color w:val="000000"/>
        </w:rPr>
      </w:pPr>
    </w:p>
    <w:p w:rsidR="00AA123F" w:rsidRDefault="00AA123F" w:rsidP="00AA123F">
      <w:pPr>
        <w:rPr>
          <w:rFonts w:ascii="Arial" w:hAnsi="Arial" w:cs="Arial"/>
          <w:color w:val="000000"/>
        </w:rPr>
      </w:pPr>
    </w:p>
    <w:p w:rsidR="00970792" w:rsidRDefault="00970792" w:rsidP="00970792">
      <w:pPr>
        <w:pStyle w:val="Default"/>
        <w:rPr>
          <w:rFonts w:ascii="Arial" w:hAnsi="Arial" w:cs="Arial"/>
          <w:sz w:val="22"/>
          <w:szCs w:val="22"/>
        </w:rPr>
      </w:pPr>
    </w:p>
    <w:tbl>
      <w:tblPr>
        <w:tblpPr w:leftFromText="180" w:rightFromText="180" w:vertAnchor="text" w:horzAnchor="margin" w:tblpY="-228"/>
        <w:tblOverlap w:val="never"/>
        <w:tblW w:w="0" w:type="auto"/>
        <w:tblBorders>
          <w:top w:val="nil"/>
          <w:left w:val="nil"/>
          <w:bottom w:val="nil"/>
          <w:right w:val="nil"/>
        </w:tblBorders>
        <w:tblLook w:val="0000" w:firstRow="0" w:lastRow="0" w:firstColumn="0" w:lastColumn="0" w:noHBand="0" w:noVBand="0"/>
      </w:tblPr>
      <w:tblGrid>
        <w:gridCol w:w="222"/>
      </w:tblGrid>
      <w:tr w:rsidR="00A62765" w:rsidRPr="00D9585F" w:rsidTr="00A62765">
        <w:trPr>
          <w:trHeight w:val="1634"/>
        </w:trPr>
        <w:tc>
          <w:tcPr>
            <w:tcW w:w="0" w:type="auto"/>
          </w:tcPr>
          <w:p w:rsidR="00A62765" w:rsidRPr="00D9585F" w:rsidRDefault="00A62765" w:rsidP="00A62765">
            <w:pPr>
              <w:autoSpaceDE w:val="0"/>
              <w:autoSpaceDN w:val="0"/>
              <w:adjustRightInd w:val="0"/>
              <w:spacing w:after="0" w:line="240" w:lineRule="auto"/>
              <w:rPr>
                <w:rFonts w:ascii="Calibri" w:hAnsi="Calibri" w:cs="Calibri"/>
                <w:color w:val="000000"/>
              </w:rPr>
            </w:pPr>
          </w:p>
        </w:tc>
      </w:tr>
    </w:tbl>
    <w:p w:rsidR="00B42814" w:rsidRDefault="00B42814" w:rsidP="00970792">
      <w:pPr>
        <w:pStyle w:val="Default"/>
        <w:rPr>
          <w:rFonts w:ascii="Arial" w:hAnsi="Arial" w:cs="Arial"/>
          <w:sz w:val="22"/>
          <w:szCs w:val="22"/>
        </w:rPr>
      </w:pPr>
    </w:p>
    <w:p w:rsidR="009555D9" w:rsidRDefault="009555D9" w:rsidP="00B42814">
      <w:pPr>
        <w:rPr>
          <w:rFonts w:ascii="Arial" w:hAnsi="Arial" w:cs="Arial"/>
          <w:i/>
          <w:iCs/>
        </w:rPr>
      </w:pPr>
    </w:p>
    <w:p w:rsidR="009555D9" w:rsidRDefault="009555D9" w:rsidP="00B42814">
      <w:pPr>
        <w:rPr>
          <w:rFonts w:ascii="Arial" w:hAnsi="Arial" w:cs="Arial"/>
          <w:i/>
          <w:iCs/>
        </w:rPr>
      </w:pPr>
    </w:p>
    <w:p w:rsidR="009555D9" w:rsidRDefault="009555D9" w:rsidP="00B42814">
      <w:pPr>
        <w:rPr>
          <w:rFonts w:ascii="Arial" w:hAnsi="Arial" w:cs="Arial"/>
          <w:i/>
          <w:iCs/>
        </w:rPr>
      </w:pPr>
    </w:p>
    <w:p w:rsidR="009555D9" w:rsidRDefault="009555D9" w:rsidP="00B42814">
      <w:pPr>
        <w:rPr>
          <w:rFonts w:ascii="Arial" w:hAnsi="Arial" w:cs="Arial"/>
          <w:i/>
          <w:iCs/>
        </w:rPr>
      </w:pPr>
    </w:p>
    <w:p w:rsidR="009555D9" w:rsidRDefault="009555D9" w:rsidP="00B42814">
      <w:pPr>
        <w:rPr>
          <w:rFonts w:ascii="Arial" w:hAnsi="Arial" w:cs="Arial"/>
          <w:i/>
          <w:iCs/>
        </w:rPr>
      </w:pPr>
    </w:p>
    <w:p w:rsidR="009555D9" w:rsidRDefault="009555D9" w:rsidP="00B42814">
      <w:pPr>
        <w:rPr>
          <w:rFonts w:ascii="Arial" w:hAnsi="Arial" w:cs="Arial"/>
          <w:i/>
          <w:iCs/>
        </w:rPr>
      </w:pPr>
    </w:p>
    <w:p w:rsidR="009555D9" w:rsidRDefault="009555D9" w:rsidP="00B42814">
      <w:pPr>
        <w:rPr>
          <w:rFonts w:ascii="Arial" w:hAnsi="Arial" w:cs="Arial"/>
          <w:i/>
          <w:iCs/>
        </w:rPr>
      </w:pPr>
    </w:p>
    <w:p w:rsidR="009555D9" w:rsidRDefault="00575315" w:rsidP="007C632A">
      <w:r>
        <w:tab/>
      </w:r>
    </w:p>
    <w:p w:rsidR="007C632A" w:rsidRDefault="007C632A" w:rsidP="007C632A"/>
    <w:p w:rsidR="007C632A" w:rsidRDefault="007C632A" w:rsidP="007C632A"/>
    <w:p w:rsidR="007C632A" w:rsidRDefault="007C632A" w:rsidP="007C632A"/>
    <w:p w:rsidR="007C632A" w:rsidRDefault="007C632A" w:rsidP="007C632A"/>
    <w:p w:rsidR="007C632A" w:rsidRDefault="007C632A" w:rsidP="007C632A"/>
    <w:p w:rsidR="00AA123F" w:rsidRDefault="00AA123F" w:rsidP="00AA123F"/>
    <w:p w:rsidR="00AA123F" w:rsidRDefault="00AA123F" w:rsidP="00AA123F">
      <w:pPr>
        <w:pStyle w:val="Default"/>
      </w:pPr>
    </w:p>
    <w:p w:rsidR="00AA123F" w:rsidRDefault="00AA123F" w:rsidP="00AA123F">
      <w:pPr>
        <w:pStyle w:val="Default"/>
        <w:rPr>
          <w:sz w:val="28"/>
          <w:szCs w:val="28"/>
        </w:rPr>
      </w:pPr>
      <w:r>
        <w:t xml:space="preserve"> </w:t>
      </w:r>
    </w:p>
    <w:p w:rsidR="00AA123F" w:rsidRDefault="00AA123F" w:rsidP="00AA123F">
      <w:pPr>
        <w:pStyle w:val="Default"/>
        <w:rPr>
          <w:rFonts w:ascii="Arial" w:hAnsi="Arial" w:cs="Arial"/>
          <w:sz w:val="22"/>
          <w:szCs w:val="22"/>
        </w:rPr>
      </w:pPr>
    </w:p>
    <w:p w:rsidR="00AA123F" w:rsidRDefault="00AA123F" w:rsidP="00AA123F">
      <w:pPr>
        <w:pStyle w:val="Default"/>
        <w:rPr>
          <w:rFonts w:ascii="Arial" w:hAnsi="Arial" w:cs="Arial"/>
          <w:sz w:val="22"/>
          <w:szCs w:val="22"/>
        </w:rPr>
      </w:pPr>
    </w:p>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AA123F" w:rsidRDefault="00AA123F" w:rsidP="00AA123F"/>
    <w:p w:rsidR="009555D9" w:rsidRPr="00B42814" w:rsidRDefault="009555D9" w:rsidP="00D9585F"/>
    <w:sectPr w:rsidR="009555D9" w:rsidRPr="00B42814" w:rsidSect="00B42814">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F0A" w:rsidRDefault="003E0F0A" w:rsidP="00970792">
      <w:pPr>
        <w:spacing w:after="0" w:line="240" w:lineRule="auto"/>
      </w:pPr>
      <w:r>
        <w:separator/>
      </w:r>
    </w:p>
  </w:endnote>
  <w:endnote w:type="continuationSeparator" w:id="0">
    <w:p w:rsidR="003E0F0A" w:rsidRDefault="003E0F0A" w:rsidP="0097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5F" w:rsidRDefault="00D9585F">
    <w:pPr>
      <w:pStyle w:val="Footer"/>
    </w:pPr>
  </w:p>
  <w:p w:rsidR="00D9585F" w:rsidRDefault="00D9585F">
    <w:pPr>
      <w:pStyle w:val="Footer"/>
    </w:pPr>
  </w:p>
  <w:p w:rsidR="00D9585F" w:rsidRDefault="00D9585F">
    <w:pPr>
      <w:pStyle w:val="Footer"/>
    </w:pPr>
  </w:p>
  <w:p w:rsidR="00D9585F" w:rsidRDefault="00D958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F0A" w:rsidRDefault="003E0F0A" w:rsidP="00970792">
      <w:pPr>
        <w:spacing w:after="0" w:line="240" w:lineRule="auto"/>
      </w:pPr>
      <w:r>
        <w:separator/>
      </w:r>
    </w:p>
  </w:footnote>
  <w:footnote w:type="continuationSeparator" w:id="0">
    <w:p w:rsidR="003E0F0A" w:rsidRDefault="003E0F0A" w:rsidP="00970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14" w:rsidRDefault="00B42814" w:rsidP="00B42814">
    <w:pPr>
      <w:pStyle w:val="Default"/>
      <w:jc w:val="center"/>
      <w:rPr>
        <w:sz w:val="28"/>
        <w:szCs w:val="28"/>
      </w:rPr>
    </w:pPr>
    <w:proofErr w:type="spellStart"/>
    <w:r>
      <w:rPr>
        <w:b/>
        <w:bCs/>
        <w:sz w:val="28"/>
        <w:szCs w:val="28"/>
      </w:rPr>
      <w:t>Broadwood</w:t>
    </w:r>
    <w:proofErr w:type="spellEnd"/>
    <w:r>
      <w:rPr>
        <w:b/>
        <w:bCs/>
        <w:sz w:val="28"/>
        <w:szCs w:val="28"/>
      </w:rPr>
      <w:t xml:space="preserve"> Primary School</w:t>
    </w:r>
  </w:p>
  <w:p w:rsidR="00B42814" w:rsidRDefault="00B42814" w:rsidP="00B42814">
    <w:pPr>
      <w:pStyle w:val="Default"/>
      <w:jc w:val="center"/>
      <w:rPr>
        <w:b/>
        <w:bCs/>
        <w:sz w:val="28"/>
        <w:szCs w:val="28"/>
      </w:rPr>
    </w:pPr>
    <w:r>
      <w:rPr>
        <w:b/>
        <w:bCs/>
        <w:sz w:val="28"/>
        <w:szCs w:val="28"/>
      </w:rPr>
      <w:t>PUPIL PREMIUM: 2019/20</w:t>
    </w:r>
  </w:p>
  <w:p w:rsidR="00B42814" w:rsidRDefault="00B42814" w:rsidP="00B42814">
    <w:pPr>
      <w:pStyle w:val="Default"/>
      <w:jc w:val="center"/>
      <w:rPr>
        <w:sz w:val="28"/>
        <w:szCs w:val="28"/>
      </w:rPr>
    </w:pPr>
    <w:r>
      <w:rPr>
        <w:b/>
        <w:bCs/>
        <w:sz w:val="28"/>
        <w:szCs w:val="28"/>
      </w:rPr>
      <w:t>IMPACT, ACTION AND SPENDING PLAN</w:t>
    </w:r>
  </w:p>
  <w:p w:rsidR="00B42814" w:rsidRDefault="00B428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70EC"/>
    <w:multiLevelType w:val="hybridMultilevel"/>
    <w:tmpl w:val="3DE2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92073"/>
    <w:multiLevelType w:val="hybridMultilevel"/>
    <w:tmpl w:val="B1CE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12B12"/>
    <w:multiLevelType w:val="hybridMultilevel"/>
    <w:tmpl w:val="3018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1172A"/>
    <w:multiLevelType w:val="hybridMultilevel"/>
    <w:tmpl w:val="D952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F73506"/>
    <w:multiLevelType w:val="hybridMultilevel"/>
    <w:tmpl w:val="798C8826"/>
    <w:lvl w:ilvl="0" w:tplc="49EC34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D2"/>
    <w:rsid w:val="000A7F47"/>
    <w:rsid w:val="000B782C"/>
    <w:rsid w:val="0013357C"/>
    <w:rsid w:val="00183189"/>
    <w:rsid w:val="002038F7"/>
    <w:rsid w:val="00205F5A"/>
    <w:rsid w:val="00256B9D"/>
    <w:rsid w:val="00273776"/>
    <w:rsid w:val="002C040D"/>
    <w:rsid w:val="002D4F63"/>
    <w:rsid w:val="003429DE"/>
    <w:rsid w:val="00360FCA"/>
    <w:rsid w:val="00367099"/>
    <w:rsid w:val="003E0F0A"/>
    <w:rsid w:val="004626B2"/>
    <w:rsid w:val="004D669F"/>
    <w:rsid w:val="00575315"/>
    <w:rsid w:val="00606730"/>
    <w:rsid w:val="00640440"/>
    <w:rsid w:val="006E589C"/>
    <w:rsid w:val="006F5BED"/>
    <w:rsid w:val="007C632A"/>
    <w:rsid w:val="00815F1E"/>
    <w:rsid w:val="00863940"/>
    <w:rsid w:val="00886131"/>
    <w:rsid w:val="009555D9"/>
    <w:rsid w:val="00970792"/>
    <w:rsid w:val="00982381"/>
    <w:rsid w:val="009E6C5F"/>
    <w:rsid w:val="00A25738"/>
    <w:rsid w:val="00A32EBC"/>
    <w:rsid w:val="00A62765"/>
    <w:rsid w:val="00AA123F"/>
    <w:rsid w:val="00AF7A64"/>
    <w:rsid w:val="00B35D71"/>
    <w:rsid w:val="00B42814"/>
    <w:rsid w:val="00B64164"/>
    <w:rsid w:val="00B87CBE"/>
    <w:rsid w:val="00B94CD5"/>
    <w:rsid w:val="00BA66B7"/>
    <w:rsid w:val="00BD2C51"/>
    <w:rsid w:val="00CB03F5"/>
    <w:rsid w:val="00CC4841"/>
    <w:rsid w:val="00CF5884"/>
    <w:rsid w:val="00D14EC6"/>
    <w:rsid w:val="00D44ADF"/>
    <w:rsid w:val="00D77DA9"/>
    <w:rsid w:val="00D9585F"/>
    <w:rsid w:val="00DF0DE8"/>
    <w:rsid w:val="00DF35CB"/>
    <w:rsid w:val="00E86923"/>
    <w:rsid w:val="00E932D2"/>
    <w:rsid w:val="00E97C97"/>
    <w:rsid w:val="00F96F22"/>
    <w:rsid w:val="00FB6462"/>
    <w:rsid w:val="00FE5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19EA"/>
  <w15:chartTrackingRefBased/>
  <w15:docId w15:val="{60F999C2-CC56-48A9-9FC9-411E7049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6B9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70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792"/>
  </w:style>
  <w:style w:type="paragraph" w:styleId="Footer">
    <w:name w:val="footer"/>
    <w:basedOn w:val="Normal"/>
    <w:link w:val="FooterChar"/>
    <w:uiPriority w:val="99"/>
    <w:unhideWhenUsed/>
    <w:rsid w:val="00970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792"/>
  </w:style>
  <w:style w:type="paragraph" w:styleId="ListParagraph">
    <w:name w:val="List Paragraph"/>
    <w:basedOn w:val="Normal"/>
    <w:uiPriority w:val="34"/>
    <w:qFormat/>
    <w:rsid w:val="00273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7</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2019-10-02T08:21:00Z</dcterms:created>
  <dcterms:modified xsi:type="dcterms:W3CDTF">2019-10-22T18:32:00Z</dcterms:modified>
</cp:coreProperties>
</file>